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28.png" ContentType="image/png"/>
  <Override PartName="/word/media/image1.jpeg" ContentType="image/jpeg"/>
  <Override PartName="/word/media/image2.png" ContentType="image/png"/>
  <Override PartName="/word/media/image4.jpeg" ContentType="image/jpeg"/>
  <Override PartName="/word/media/image7.png" ContentType="image/png"/>
  <Override PartName="/word/media/image11.png" ContentType="image/png"/>
  <Override PartName="/word/media/image5.jpeg" ContentType="image/jpeg"/>
  <Override PartName="/word/media/image21.png" ContentType="image/png"/>
  <Override PartName="/word/media/image6.jpeg" ContentType="image/jpeg"/>
  <Override PartName="/word/media/image8.png" ContentType="image/png"/>
  <Override PartName="/word/media/image10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jpeg" ContentType="image/jpeg"/>
  <Override PartName="/word/media/image16.jpeg" ContentType="image/jpeg"/>
  <Override PartName="/word/media/image17.png" ContentType="image/png"/>
  <Override PartName="/word/media/image18.png" ContentType="image/png"/>
  <Override PartName="/word/media/image22.png" ContentType="image/png"/>
  <Override PartName="/word/media/image19.jpeg" ContentType="image/jpeg"/>
  <Override PartName="/word/media/image20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7.jpeg" ContentType="image/jpeg"/>
  <Override PartName="/word/media/image35.png" ContentType="image/png"/>
  <Override PartName="/word/media/image36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ВВЕДЕНИЕ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i/>
          <w:iCs/>
          <w:sz w:val="24"/>
          <w:szCs w:val="24"/>
          <w:u w:val="single"/>
        </w:rPr>
        <w:t>Актуальность работы:</w:t>
      </w:r>
      <w:r>
        <w:rPr>
          <w:rFonts w:cs="Times New Roman" w:ascii="Times New Roman" w:hAnsi="Times New Roman"/>
          <w:bCs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данное месторождение изучается относительно давно (с 2008 года) и было проведенно множество исследований. Но данных по термобарогеохимии не наблюдалось. Рудная минерализация месторождения Копто связана с карбонатно-кварцевыми жилами, то было интересно провести термобарогеохимические исследования и выяснить при каких температурах, были образованны данные жилы. Так как месторождения золота могут образовываться в кварцевых жилах,  то было интересно выяснить как эти жилы образовались.  Сутью моей работы являлось определение условий формирования золотопродуктивных минеральных ассоциаций, так как минеральный состав Копто разнообразен.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i/>
          <w:iCs/>
          <w:sz w:val="24"/>
          <w:szCs w:val="24"/>
        </w:rPr>
        <w:t>Целью работы</w:t>
      </w:r>
      <w:r>
        <w:rPr>
          <w:rFonts w:cs="Times New Roman" w:ascii="Times New Roman" w:hAnsi="Times New Roman"/>
          <w:bCs/>
          <w:sz w:val="24"/>
          <w:szCs w:val="24"/>
        </w:rPr>
        <w:t xml:space="preserve"> является м</w:t>
      </w:r>
      <w:r>
        <w:rPr>
          <w:rFonts w:cs="Times New Roman" w:ascii="Times New Roman" w:hAnsi="Times New Roman"/>
          <w:sz w:val="24"/>
          <w:szCs w:val="24"/>
        </w:rPr>
        <w:t>инералого-петрографическая характеристика руд и вмещающих пород и условия образования золото-сульфидно-кварцевых жил месторождения Копто (Восточная Тыва).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i/>
          <w:iCs/>
          <w:sz w:val="24"/>
          <w:szCs w:val="24"/>
        </w:rPr>
        <w:t>Задачи:</w:t>
      </w:r>
      <w:r>
        <w:rPr>
          <w:rFonts w:cs="Times New Roman" w:ascii="Times New Roman" w:hAnsi="Times New Roman"/>
          <w:bCs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Литературный обзор фондовых материалов по Тарданскому рудному узлу и месторождению Копто;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2) характеристика минерального состава </w:t>
      </w:r>
      <w:r>
        <w:rPr>
          <w:rFonts w:cs="Times New Roman" w:ascii="Times New Roman" w:hAnsi="Times New Roman"/>
          <w:sz w:val="24"/>
          <w:szCs w:val="24"/>
          <w:highlight w:val="yellow"/>
        </w:rPr>
        <w:t>вмещающих пород и руд</w:t>
      </w:r>
      <w:r>
        <w:rPr>
          <w:rFonts w:cs="Times New Roman" w:ascii="Times New Roman" w:hAnsi="Times New Roman"/>
          <w:sz w:val="24"/>
          <w:szCs w:val="24"/>
        </w:rPr>
        <w:t xml:space="preserve"> месторождения Копто методом оптической микроскопии;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определение условий образования сульфидно-</w:t>
      </w:r>
      <w:r>
        <w:rPr>
          <w:rFonts w:cs="Times New Roman" w:ascii="Times New Roman" w:hAnsi="Times New Roman"/>
          <w:sz w:val="24"/>
          <w:szCs w:val="24"/>
          <w:highlight w:val="yellow"/>
        </w:rPr>
        <w:t>карбонатно-кварцевых</w:t>
      </w:r>
      <w:r>
        <w:rPr>
          <w:rFonts w:cs="Times New Roman" w:ascii="Times New Roman" w:hAnsi="Times New Roman"/>
          <w:sz w:val="24"/>
          <w:szCs w:val="24"/>
        </w:rPr>
        <w:t xml:space="preserve"> жил с золотом по данным термобарогеохимии; 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i/>
          <w:iCs/>
          <w:sz w:val="24"/>
          <w:szCs w:val="24"/>
        </w:rPr>
        <w:t>Методы исследований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Оптическая микроскопия в отраженном и проходящем свете – микроскоп ПОЛАМ </w:t>
      </w:r>
      <w:r>
        <w:rPr>
          <w:rFonts w:cs="Times New Roman" w:ascii="Times New Roman" w:hAnsi="Times New Roman"/>
          <w:sz w:val="24"/>
          <w:szCs w:val="24"/>
          <w:lang w:val="en-US"/>
        </w:rPr>
        <w:t>P</w:t>
      </w:r>
      <w:r>
        <w:rPr>
          <w:rFonts w:cs="Times New Roman" w:ascii="Times New Roman" w:hAnsi="Times New Roman"/>
          <w:sz w:val="24"/>
          <w:szCs w:val="24"/>
        </w:rPr>
        <w:t>-132, Геологический факультет;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Термобарогеохимический анализ – микротермокамера TMS-600 (Linkam), микроскоп Olympus BX51, лаборатория термобарогеохимии, Геологический факультет.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17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LTUntertite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sz w:val="24"/>
          <w:szCs w:val="24"/>
          <w:u w:val="single"/>
        </w:rPr>
        <w:t>Ф</w:t>
      </w:r>
      <w:r>
        <w:rPr>
          <w:rFonts w:ascii="Times New Roman" w:hAnsi="Times New Roman"/>
          <w:b/>
          <w:i/>
          <w:sz w:val="24"/>
          <w:szCs w:val="24"/>
          <w:u w:val="single"/>
        </w:rPr>
        <w:t>актический материал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исследований был отобран в ходе производственной практики и частично предоставлен с.н.с. ТувИКОПР СО РАН (г. Кызыл) Р.В. Кужугетом: аншлифы сульфидно-кварцевых руд с золотом (9 шт.), образцы вмещающих пород – 7 шт (изготовлены 4 шт.). Шлифы для термобарогеохимического анализа (6 шт.) изготовлены в шлифовальной мастерской института минералогии УрО РАН.</w:t>
      </w:r>
    </w:p>
    <w:p>
      <w:pPr>
        <w:pStyle w:val="LTUntertitel"/>
        <w:tabs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spacing w:lineRule="auto" w:line="144" w:before="75" w:after="0"/>
        <w:ind w:left="0" w:right="0" w:hanging="0"/>
        <w:jc w:val="left"/>
        <w:rPr>
          <w:rFonts w:ascii="Times New Roman" w:hAnsi="Times New Roman"/>
          <w:b w:val="false"/>
          <w:b w:val="false"/>
          <w:sz w:val="24"/>
          <w:szCs w:val="24"/>
        </w:rPr>
      </w:pPr>
      <w:r>
        <w:rPr>
          <w:rFonts w:ascii="Times New Roman" w:hAnsi="Times New Roman"/>
          <w:b w:val="false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/>
      </w:pPr>
      <w:r>
        <w:rPr>
          <w:rFonts w:cs="Times New Roman" w:ascii="Times New Roman" w:hAnsi="Times New Roman"/>
          <w:bCs/>
          <w:sz w:val="24"/>
          <w:szCs w:val="24"/>
        </w:rPr>
        <w:t xml:space="preserve">Хочу поблагодарить руководителя кг-мн Н.Н. Анкушеву за помощь и консультации при выполнении работы, Л.Я. Кабанову За помощь </w:t>
      </w:r>
      <w:r>
        <w:rPr>
          <w:rFonts w:cs="Times New Roman" w:ascii="Times New Roman" w:hAnsi="Times New Roman"/>
          <w:bCs/>
          <w:sz w:val="24"/>
          <w:szCs w:val="24"/>
          <w:lang w:val="ru-RU"/>
        </w:rPr>
        <w:t>при изучении шлифов.</w:t>
      </w:r>
      <w:r>
        <w:rPr>
          <w:rFonts w:cs="Times New Roman" w:ascii="Times New Roman" w:hAnsi="Times New Roman"/>
          <w:bCs/>
          <w:sz w:val="24"/>
          <w:szCs w:val="24"/>
        </w:rPr>
        <w:t xml:space="preserve"> А.М. Юминова за </w:t>
      </w:r>
      <w:r>
        <w:rPr>
          <w:rFonts w:cs="Times New Roman" w:ascii="Times New Roman" w:hAnsi="Times New Roman"/>
          <w:bCs/>
          <w:sz w:val="24"/>
          <w:szCs w:val="24"/>
        </w:rPr>
        <w:t>консультации при проведении ТБГХ измерений</w:t>
      </w:r>
      <w:r>
        <w:rPr>
          <w:rFonts w:cs="Times New Roman" w:ascii="Times New Roman" w:hAnsi="Times New Roman"/>
          <w:bCs/>
          <w:sz w:val="24"/>
          <w:szCs w:val="24"/>
        </w:rPr>
        <w:t xml:space="preserve">, </w:t>
      </w:r>
      <w:r>
        <w:rPr>
          <w:rFonts w:cs="Times New Roman" w:ascii="Times New Roman" w:hAnsi="Times New Roman"/>
          <w:bCs/>
          <w:sz w:val="24"/>
          <w:szCs w:val="24"/>
        </w:rPr>
        <w:t xml:space="preserve">Е.В. Белогуб за помощь в поисках золота в кварце, </w:t>
      </w:r>
      <w:r>
        <w:rPr>
          <w:rFonts w:cs="Times New Roman" w:ascii="Times New Roman" w:hAnsi="Times New Roman"/>
          <w:bCs/>
          <w:sz w:val="24"/>
          <w:szCs w:val="24"/>
        </w:rPr>
        <w:t>Р.В. Кужугета за предоставление материалов для выполнения работы и сотрудников шлифовальной мастерской Института минералогии УрО РАН за изготовление шлифов.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Глава 1. КРАТКАЯ ХАРАКТЕРИСТИКА ГЕОЛОГИЧЕСКОГО СТРОЕНИЯ Т</w:t>
      </w:r>
      <w:r>
        <w:rPr>
          <w:rFonts w:cs="Times New Roman" w:ascii="Times New Roman" w:hAnsi="Times New Roman"/>
          <w:sz w:val="24"/>
          <w:szCs w:val="24"/>
          <w:highlight w:val="yellow"/>
        </w:rPr>
        <w:t>А</w:t>
      </w:r>
      <w:r>
        <w:rPr>
          <w:rFonts w:cs="Times New Roman" w:ascii="Times New Roman" w:hAnsi="Times New Roman"/>
          <w:sz w:val="24"/>
          <w:szCs w:val="24"/>
        </w:rPr>
        <w:t>РДАНСКОГО ЗОЛОТОРУДНОГО УЗЛА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1"/>
          <w:numId w:val="3"/>
        </w:numPr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ИСТОРИЯ ГЕОЛОГИЧЕСКОЙ ИЗУЧЕННОСТИ</w:t>
      </w:r>
    </w:p>
    <w:p>
      <w:pPr>
        <w:pStyle w:val="ListParagraph"/>
        <w:spacing w:before="0" w:after="0"/>
        <w:ind w:left="420" w:hanging="0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19050" distR="4445">
            <wp:extent cx="5939155" cy="4908550"/>
            <wp:effectExtent l="0" t="0" r="0" b="0"/>
            <wp:docPr id="1" name="Рисунок 2" descr="карта_узел проектс дополнениями исх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карта_узел проектс дополнениями исходный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rPr/>
      </w:pPr>
      <w:r>
        <w:rPr>
          <w:rFonts w:cs="Times New Roman" w:ascii="Times New Roman" w:hAnsi="Times New Roman"/>
          <w:sz w:val="20"/>
          <w:szCs w:val="20"/>
        </w:rPr>
        <w:t xml:space="preserve">Рис. 1. Схема геологической изученности Тарданского рудного поля </w:t>
      </w:r>
      <w:r>
        <w:rPr>
          <w:rFonts w:eastAsia="TimesNewRomanPS-BoldMT" w:cs="Times New Roman" w:ascii="Times New Roman" w:hAnsi="Times New Roman"/>
          <w:bCs/>
          <w:sz w:val="20"/>
          <w:szCs w:val="20"/>
        </w:rPr>
        <w:t>(</w:t>
      </w:r>
      <w:r>
        <w:rPr>
          <w:rFonts w:eastAsia="Calibri" w:cs="Times New Roman" w:ascii="Times New Roman" w:hAnsi="Times New Roman"/>
          <w:sz w:val="20"/>
          <w:szCs w:val="20"/>
        </w:rPr>
        <w:t>Кильчичаков  1967</w:t>
      </w:r>
      <w:r>
        <w:rPr>
          <w:rFonts w:cs="Times New Roman" w:ascii="Times New Roman" w:hAnsi="Times New Roman"/>
          <w:sz w:val="20"/>
          <w:szCs w:val="20"/>
        </w:rPr>
        <w:t>). Масштаб 1:200 000.</w:t>
      </w:r>
    </w:p>
    <w:p>
      <w:pPr>
        <w:pStyle w:val="ListParagraph"/>
        <w:spacing w:before="0" w:after="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spacing w:before="0" w:after="0"/>
        <w:ind w:left="0" w:hang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 xml:space="preserve">Геологические исследования территории Тувы начаты в XIX столетии и связаны они, прежде всего, с поисками россыпного золота.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Геологическое изучение Тарданского рудного узла началось с 1910 г. (рис. 1.1), когда было открыто Бай-Сютское россыпное месторождение. С 1911 г. началась его эксплуатация (Кильчичаков, 1971ф).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первой половине ХХ в. трестом «Тувзолото» выявлены россыпи Копто – 1930 г. и Соруглуг-Хем – 1940 г.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С 1944 г. в Копто-Бай-Сютском золотоносном районе трестом «Золоторазведка» проводятся поисково-разведочные работы на коренное золото. В результате работ были выявлены отдельные кварцевые жилы в бассейне рек Бай-Сют, Кара-Хем (Гордеев, 1944ф).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1947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г. издана геологическая карта Восточной Тувы м-ба 1:1 000 000, а в 1950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г. сводная геологическая карта Тувы того же масштаба.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1951 г. проведены съёмочные работы Тапса-Каа-Хемского междуречья масштаба 1:200 000 с попутными поисками полезных ископаемых и установлено наличие золота в скарнах с содержанием до 5 г/т (Лукашов, 1952ф). В пределах нижнекембрийских отложений выделено две свиты: туматтайгинская и тапсинская. Нижнепалеозойские интрузии впервые были расчленены по петрографическим признакам.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1953 г. группой геологов при систематизации материалов по золотоносности Тувы были выделены участки, перспективные на выявление промышленного золотого оруденения в бассейне рек Бай-Сют и Копто.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1956–1960 гг. при проведении государственной геологической съёмки масштаба 1:200 000 на листе М-46-</w:t>
      </w:r>
      <w:r>
        <w:rPr>
          <w:sz w:val="24"/>
          <w:szCs w:val="24"/>
          <w:lang w:val="en-US"/>
        </w:rPr>
        <w:t>VI</w:t>
      </w:r>
      <w:r>
        <w:rPr>
          <w:sz w:val="24"/>
          <w:szCs w:val="24"/>
        </w:rPr>
        <w:t xml:space="preserve"> авторами разработаны стратиграфические схемы, описаны основные проявления полезных ископаемых (медь, железо, полиметаллы), установлены шлиховые ореолы золота, а также установлена золотоносность скарнов участка Копто [Агентов, 1960].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1961 г. при составлении карты золотоносности Тувы масштаба 1:500 000 получен вывод о перспективности скарновых образований на выявление промышленных месторождений золота (Неймарк, 1961).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1962–1964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гг. Федоровской партией на площади проведена геологическая съемка масштаба 1:50 000 для листов М-46-11-В и М-46-11-Г (Тверянкин, 1965ф). В комплексе с геологосъемочными работами проведена магниторазведка, литохимические поиски по вторичным ореолам рассеяния, шлиховое и гидрохимическое опробование. В результате составлены геологические карты, карты полезных ископаемых, уточнена стратиграфическая схема района, обозначены поля развития скарнов.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 xml:space="preserve">В 1964 г. Байсютской партией в бассейне р. Бай-Сют проводились оценочные работы на россыпное золото и поисковые – на рудное (Кильчичаков, 1971ф). В результате пересчитаны запасы золота в россыпи р. Бай-Сют, выявлены несколько золоторудных тел в скарнах (в будущем Тарданское месторождение), а также ряд прямых и косвенных признаков золота в березитах на участке Тардан-2. Кварцевым жилам, локализованным в плагиогранитах и в осадочных породах, дана отрицательная оценка, но возможность обнаружения в районе месторождений кварцево-жильного типа не исключается.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1965–1971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гг. Тарданская и Коптинская партии провели поисковые и оценочные работы в бассейне р. Бай-Сют, на участке Копто, а также разведочные работы на Тарданском месторождении (Кильчичаков, 1967ф; Кильчичаков, 1971ф). Поисковые работы в бассейне р. Бай-Сют были проведены в масштабе 1:10 000, и сосредотачивались вдоль юго-западного контакта Копто-Байсютского разлома. В результате работ на отдельных участках в пределах контактовой части Копто-Бай-Сютского массива были выявлены рудопроявления Барсучье, Соруглуг-Хем, Копто, Правобережное.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Параллельно с подготовкой отчета о предварительной разведке Тарданского месторождения, в 1970 г. методической партией Красноярского геологического управления было составлено ТЭО кондиций. Одновременно проводились тематические работы по изучению минералогической характеристики руд и метасоматитов Тарданского золоторудного поля. Работы выполнялись сотрудниками Томского политехнического института и Красноярского института цветных металлов (Коробейников, 1970ф, Окунев, 1970ф).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1975–1976 гг. для расширения сырьевой базы Тарданского месторождения в верхнем течении бассейна р. Бай-Сют проведены поисковые работы масштаба 1:25 000. На участках Соруглуг-Хем, Бай-Сют и Хорлелиг проведены поиски масштаба 1:10 000. На рудопроявлениях Копто и Соруглуг-Хем проведены поисково-оценочные работы (Кильчичаков, 1976ф).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На проявлении Соруглуг-Хем работами масштаба 1:2 000 выявлено 8 рудных тел (13 линз), оконтуренных по бортовому содержанию 2,0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г/т. Протяженность тел от 40 до 260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м при мощности от 0,9-3,8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м. Среднее содержание составило 4,4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г/т. Авторские запасы проявления по категории С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составили 2998,7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кг, из которых балансовых – 2221,4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 xml:space="preserve">кг.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Проявление Копто приурочено к скарнам, залегающим в виде будин в диоритах. Всего оконтурено 5 рудных тел протяженностью от 80 до 100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м при мощности от 0,8 до 10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м. Среднее содержание составило 8,7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г/т. Запасы категории С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составили 1240,1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кг, из них балансовых – 1162,1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 xml:space="preserve">кг (фактически это ресурсы категории </w:t>
      </w: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).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1977–1979 гг. на Тарданском месторождении проведены поисково-оценочные работы (Кильчичаков, 1980ф). В комплекс работ входили подземные горные выработки, канавы, шурфы, колонковые скважины. В результате работ на месторождении изучено 14 золоторудных тел.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 1997–1999 гг. на рудопроявлении Копто проведены работы, по результатам которых были получены дополнительные сведения о морфологии и внутреннем строении рудных тел рудопроявления, о вещественном составе и качестве руд. На основании полученных параметров оруденения и предположении о линзовидном выклинивании его на глубину был произведён ориентировочный пересчёт запасов. Запасы золота по категории </w:t>
      </w:r>
      <w:r>
        <w:rPr>
          <w:rFonts w:cs="Times New Roman" w:ascii="Times New Roman" w:hAnsi="Times New Roman"/>
          <w:sz w:val="24"/>
          <w:szCs w:val="24"/>
          <w:lang w:val="en-US"/>
        </w:rPr>
        <w:t>C</w:t>
      </w:r>
      <w:r>
        <w:rPr>
          <w:rFonts w:cs="Times New Roman" w:ascii="Times New Roman" w:hAnsi="Times New Roman"/>
          <w:sz w:val="24"/>
          <w:szCs w:val="24"/>
          <w:vertAlign w:val="subscript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составили 162  кг (Вамбольдт, 2010).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2002–2003 гг. при проведении ГУП «Тувинская геологоразведочная экспедиция» прогнозно-поисковых работ в пределах Тапса-Каа-Хемской золоторудной зоны была проведена переоценка прогнозных ресурсов. Используя методические руководства ЦНИГРИ «Оценка прогнозных ресурсов благородных металлов и алмазов», 1988</w:t>
      </w:r>
      <w:r>
        <w:rPr>
          <w:rFonts w:cs="Times New Roman" w:ascii="Times New Roman" w:hAnsi="Times New Roman"/>
          <w:sz w:val="24"/>
          <w:szCs w:val="24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</w:rPr>
        <w:t>г. и «Оценка прогнозных ресурсов алмазов, благородных и цветных металлов», 2002</w:t>
      </w:r>
      <w:r>
        <w:rPr>
          <w:rFonts w:cs="Times New Roman" w:ascii="Times New Roman" w:hAnsi="Times New Roman"/>
          <w:sz w:val="24"/>
          <w:szCs w:val="24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</w:rPr>
        <w:t>г., подсчитаны прогнозные ресурсы по категории Р</w:t>
      </w:r>
      <w:r>
        <w:rPr>
          <w:rFonts w:cs="Times New Roman" w:ascii="Times New Roman" w:hAnsi="Times New Roman"/>
          <w:sz w:val="24"/>
          <w:szCs w:val="24"/>
          <w:vertAlign w:val="subscript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в следующих количествах: рудопроявление Соруглуг-Хем – 9950</w:t>
      </w:r>
      <w:r>
        <w:rPr>
          <w:rFonts w:cs="Times New Roman" w:ascii="Times New Roman" w:hAnsi="Times New Roman"/>
          <w:sz w:val="24"/>
          <w:szCs w:val="24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</w:rPr>
        <w:t>кг, рудопроявление Копто – 11193</w:t>
      </w:r>
      <w:r>
        <w:rPr>
          <w:rFonts w:cs="Times New Roman" w:ascii="Times New Roman" w:hAnsi="Times New Roman"/>
          <w:sz w:val="24"/>
          <w:szCs w:val="24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</w:rPr>
        <w:t xml:space="preserve"> кг, рудопроявление Барсучье – 6279</w:t>
      </w:r>
      <w:r>
        <w:rPr>
          <w:rFonts w:cs="Times New Roman" w:ascii="Times New Roman" w:hAnsi="Times New Roman"/>
          <w:sz w:val="24"/>
          <w:szCs w:val="24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</w:rPr>
        <w:t>кг.</w:t>
      </w:r>
    </w:p>
    <w:p>
      <w:pPr>
        <w:pStyle w:val="Style21"/>
        <w:rPr/>
      </w:pPr>
      <w:r>
        <w:rPr>
          <w:sz w:val="24"/>
          <w:szCs w:val="24"/>
        </w:rPr>
        <w:t>В 2004–2008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гг. силами ООО «Тардан Голд» проведены разведочные работы центральной части месторождения Тардан с целью постановки запасов на государственный баланс и подготовки месторождения к промышленному освоению. С целью заверки результатов разведочных работ проведена опытная отработка наиболее представительных рудных тел №№ 24 и 26. Разработан регламент обогащения руд методом кучного выщелачивания. Выполнено ТЭО постоянных разведочных кондиций. В результате пересчёта на государственный баланс поставлены запасы месторождения по категориям С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+С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составившие 9005,36 кг золота. Параллельно с разведочными работами центральной части месторождения Тардан, в 2005–2007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гг. ООО «Тардан Голд» проводило разведочные работы на проявлении Копто.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 ГЕОЛОГИЧЕСКОЕ СТРОЕНИЕ ТАРДАНСКОГО ЗОЛОТОРУДНОГО УЗЛА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f0"/>
        <w:tblW w:w="66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647"/>
      </w:tblGrid>
      <w:tr>
        <w:trPr/>
        <w:tc>
          <w:tcPr>
            <w:tcW w:w="664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19050" distR="635">
                  <wp:extent cx="4361815" cy="3493770"/>
                  <wp:effectExtent l="0" t="0" r="0" b="0"/>
                  <wp:docPr id="2" name="Изображение1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15" cy="34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sz w:val="20"/>
          <w:szCs w:val="20"/>
        </w:rPr>
      </w:pPr>
      <w:r>
        <w:rPr>
          <w:rFonts w:eastAsia="TimesNewRomanPS-BoldMT" w:cs="Times New Roman" w:ascii="Times New Roman" w:hAnsi="Times New Roman"/>
          <w:bCs/>
          <w:sz w:val="20"/>
          <w:szCs w:val="20"/>
        </w:rPr>
        <w:t>Рис. 2. Схема геологического строения Тарданского золоторудного узла (по данным (</w:t>
      </w:r>
      <w:r>
        <w:rPr>
          <w:rFonts w:eastAsia="Calibri" w:cs="Times New Roman" w:ascii="Times New Roman" w:hAnsi="Times New Roman"/>
          <w:sz w:val="20"/>
          <w:szCs w:val="20"/>
        </w:rPr>
        <w:t>Кильчичаков и др., 1967; Прудников и др., 2011; Руднев и др., 2015</w:t>
      </w:r>
      <w:r>
        <w:rPr>
          <w:rFonts w:eastAsia="TimesNewRomanPSMT" w:cs="Times New Roman" w:ascii="Times New Roman" w:hAnsi="Times New Roman"/>
          <w:sz w:val="20"/>
          <w:szCs w:val="20"/>
        </w:rPr>
        <w:t>)</w:t>
      </w:r>
      <w:r>
        <w:rPr>
          <w:rFonts w:eastAsia="TimesNewRomanPS-BoldMT" w:cs="Times New Roman" w:ascii="Times New Roman" w:hAnsi="Times New Roman"/>
          <w:bCs/>
          <w:sz w:val="20"/>
          <w:szCs w:val="20"/>
        </w:rPr>
        <w:t xml:space="preserve"> с изменениями (Кужугет и др., 2018, в печати)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6">
                <wp:simplePos x="0" y="0"/>
                <wp:positionH relativeFrom="page">
                  <wp:posOffset>5163185</wp:posOffset>
                </wp:positionH>
                <wp:positionV relativeFrom="paragraph">
                  <wp:posOffset>-3446145</wp:posOffset>
                </wp:positionV>
                <wp:extent cx="624205" cy="3131820"/>
                <wp:effectExtent l="0" t="0" r="0" b="0"/>
                <wp:wrapSquare wrapText="bothSides"/>
                <wp:docPr id="3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" cy="31318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af0"/>
                              <w:tblpPr w:bottomFromText="0" w:horzAnchor="page" w:leftFromText="180" w:rightFromText="180" w:tblpX="8244" w:tblpY="-5427" w:topFromText="0" w:vertAnchor="text"/>
                              <w:tblW w:w="983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484"/>
                              <w:gridCol w:w="498"/>
                            </w:tblGrid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484" w:type="dxa"/>
                                  <w:tcBorders>
                                    <w:right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∆∆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ΔΔ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 xml:space="preserve">. . . . . . .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 xml:space="preserve"> </w:t>
                                  </w:r>
                                  <w:r>
                                    <w:rPr/>
                                    <w:t>. . . . . 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҃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҃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҃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҃      ҃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color="auto" w:fill="BFBFBF" w:themeFill="background1" w:themeFillShade="bf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000000" w:themeColor="text1"/>
                                      <w:highlight w:val="lightGray"/>
                                    </w:rPr>
                                    <w:t>+  +  +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84" w:type="dxa"/>
                                  <w:tcBorders>
                                    <w:right w:val="single" w:sz="4" w:space="0" w:color="00000A"/>
                                    <w:insideV w:val="single" w:sz="4" w:space="0" w:color="00000A"/>
                                  </w:tcBorders>
                                  <w:shd w:color="auto" w:fill="DAEEF3" w:themeFill="accent5" w:themeFillTint="33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++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left w:val="single" w:sz="4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color="auto" w:fill="F2F2F2" w:themeFill="background1" w:themeFillShade="f2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color="auto" w:fill="D9D9D9" w:themeFill="background1" w:themeFillShade="d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ind w:left="-53" w:hanging="0"/>
                                    <w:rPr/>
                                  </w:pPr>
                                  <w:r>
                                    <w:rPr/>
                                    <w:t>а</w:t>
                                  </w:r>
                                  <w:r>
                                    <w:rPr/>
                                    <w:t>)    б)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82" w:type="dxa"/>
                                  <w:gridSpan w:val="2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а</w:t>
                                  </w:r>
                                  <w:r>
                                    <w:rPr/>
                                    <w:t>)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б</w:t>
                                  </w:r>
                                  <w:r>
                                    <w:rPr/>
                                    <w:t xml:space="preserve">) 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15pt;height:246.6pt;mso-wrap-distance-left:9pt;mso-wrap-distance-right:9pt;mso-wrap-distance-top:0pt;mso-wrap-distance-bottom:0pt;margin-top:-271.35pt;mso-position-vertical-relative:text;margin-left:406.55pt;mso-position-horizontal-relative:page">
                <v:textbox inset="0in,0in,0in,0in">
                  <w:txbxContent>
                    <w:tbl>
                      <w:tblPr>
                        <w:tblStyle w:val="af0"/>
                        <w:tblpPr w:bottomFromText="0" w:horzAnchor="page" w:leftFromText="180" w:rightFromText="180" w:tblpX="8244" w:tblpY="-5427" w:topFromText="0" w:vertAnchor="text"/>
                        <w:tblW w:w="983" w:type="dxa"/>
                        <w:jc w:val="left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484"/>
                        <w:gridCol w:w="498"/>
                      </w:tblGrid>
                      <w:tr>
                        <w:trPr>
                          <w:trHeight w:val="487" w:hRule="atLeast"/>
                        </w:trPr>
                        <w:tc>
                          <w:tcPr>
                            <w:tcW w:w="484" w:type="dxa"/>
                            <w:tcBorders>
                              <w:right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∆∆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ΔΔ</w:t>
                            </w:r>
                          </w:p>
                        </w:tc>
                      </w:tr>
                      <w:tr>
                        <w:trPr>
                          <w:trHeight w:val="268" w:hRule="atLeast"/>
                        </w:trPr>
                        <w:tc>
                          <w:tcPr>
                            <w:tcW w:w="982" w:type="dxa"/>
                            <w:gridSpan w:val="2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 xml:space="preserve">. . . . . . .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>. . . . . .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982" w:type="dxa"/>
                            <w:gridSpan w:val="2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҃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҃      ҃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pict>
                                <v:shapetype id="shapetype_32" coordsize="21600,21600" o:spt="32" path="m,l21600,21600nfe">
                                  <v:stroke joinstyle="miter"/>
                                  <v:path gradientshapeok="t" o:connecttype="rect" textboxrect="0,0,21600,21600"/>
                                </v:shapetype>
                                <v:shape id="shape_0" stroked="t" style="position:absolute;margin-left:21.5pt;margin-top:3.7pt;width:0pt;height:7.4pt;flip:y" type="shapetype_32">
                                  <w10:wrap type="none"/>
                                  <v:fill o:detectmouseclick="t" on="false"/>
                                  <v:stroke color="black" joinstyle="round" endcap="flat"/>
                                </v:shape>
                              </w:pic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118110" cy="1270"/>
                                      <wp:effectExtent l="0" t="0" r="0" b="0"/>
                                      <wp:docPr id="5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17360" cy="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9.55pt;margin-top:7.2pt;width:9.2pt;height:0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675" cy="44450"/>
                                      <wp:effectExtent l="0" t="0" r="0" b="0"/>
                                      <wp:docPr id="6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5880" cy="439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9.55pt;margin-top:11.2pt;width:5.15pt;height:3.4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3660" cy="51435"/>
                                      <wp:effectExtent l="0" t="0" r="0" b="0"/>
                                      <wp:docPr id="7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73080" cy="5076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7.2pt;width:5.7pt;height:3.95pt;flip:y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1270" cy="44450"/>
                                      <wp:effectExtent l="0" t="0" r="0" b="0"/>
                                      <wp:docPr id="8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20" cy="439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9.55pt;margin-top:4.7pt;width:0pt;height:3.4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95885" cy="1270"/>
                                      <wp:effectExtent l="0" t="0" r="0" b="0"/>
                                      <wp:docPr id="9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95400" cy="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4pt;margin-top:1.2pt;width:7.45pt;height:0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3660" cy="45085"/>
                                      <wp:effectExtent l="0" t="0" r="0" b="0"/>
                                      <wp:docPr id="10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3080" cy="442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1.2pt;width:5.7pt;height:3.45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color="auto" w:fill="BFBFBF" w:themeFill="background1" w:themeFillShade="bf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highlight w:val="lightGray"/>
                              </w:rPr>
                              <w:t>+  +  +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84" w:type="dxa"/>
                            <w:tcBorders>
                              <w:right w:val="single" w:sz="4" w:space="0" w:color="00000A"/>
                              <w:insideV w:val="single" w:sz="4" w:space="0" w:color="00000A"/>
                            </w:tcBorders>
                            <w:shd w:color="auto" w:fill="DAEEF3" w:themeFill="accent5" w:themeFillTint="33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++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left w:val="single" w:sz="4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040" cy="66675"/>
                                      <wp:effectExtent l="0" t="0" r="0" b="0"/>
                                      <wp:docPr id="11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5520" cy="658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0.2pt;margin-top:5.05pt;width:5.1pt;height:5.15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040" cy="66675"/>
                                      <wp:effectExtent l="0" t="0" r="0" b="0"/>
                                      <wp:docPr id="12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65520" cy="658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0.2pt;margin-top:5.05pt;width:5.1pt;height:5.15pt;flip:y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color="auto" w:fill="F2F2F2" w:themeFill="background1" w:themeFillShade="f2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040" cy="66675"/>
                                      <wp:effectExtent l="0" t="0" r="0" b="0"/>
                                      <wp:docPr id="13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65520" cy="658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4.4pt;margin-top:5.55pt;width:5.1pt;height:5.15pt;flip:y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040" cy="66675"/>
                                      <wp:effectExtent l="0" t="0" r="0" b="0"/>
                                      <wp:docPr id="14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5520" cy="658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4.4pt;margin-top:5.55pt;width:5.1pt;height:5.15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3660" cy="66675"/>
                                      <wp:effectExtent l="0" t="0" r="0" b="0"/>
                                      <wp:docPr id="15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3080" cy="658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5.55pt;width:5.7pt;height:5.15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3660" cy="66675"/>
                                      <wp:effectExtent l="0" t="0" r="0" b="0"/>
                                      <wp:docPr id="16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73080" cy="658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5.55pt;width:5.7pt;height:5.15pt;flip:y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color="auto" w:fill="D9D9D9" w:themeFill="background1" w:themeFillShade="d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040" cy="1270"/>
                                      <wp:effectExtent l="0" t="0" r="0" b="0"/>
                                      <wp:docPr id="17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5520" cy="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4.4pt;margin-top:5.45pt;width:5.1pt;height:0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1270" cy="124460"/>
                                      <wp:effectExtent l="0" t="0" r="0" b="0"/>
                                      <wp:docPr id="18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20" cy="12384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4.4pt;margin-top:5.45pt;width:0pt;height:9.7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3660" cy="1270"/>
                                      <wp:effectExtent l="0" t="0" r="0" b="0"/>
                                      <wp:docPr id="19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3080" cy="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5.45pt;width:5.7pt;height:0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1270" cy="124460"/>
                                      <wp:effectExtent l="0" t="0" r="0" b="0"/>
                                      <wp:docPr id="20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20" cy="12384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5.45pt;width:0pt;height:9.7pt" type="shapetype_32">
                                      <w10:wrap type="none"/>
                                      <v:fill o:detectmouseclick="t" on="false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675" cy="154305"/>
                                      <wp:effectExtent l="0" t="0" r="0" b="0"/>
                                      <wp:docPr id="21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588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33.6pt;margin-top:1.3pt;width:5.15pt;height:12.05pt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040" cy="154305"/>
                                      <wp:effectExtent l="0" t="0" r="0" b="0"/>
                                      <wp:docPr id="22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552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4.4pt;margin-top:1.3pt;width:5.1pt;height:12.05pt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59055" cy="154305"/>
                                      <wp:effectExtent l="0" t="0" r="0" b="0"/>
                                      <wp:docPr id="23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5832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6.9pt;margin-top:1.3pt;width:4.55pt;height:12.05pt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59055" cy="154305"/>
                                      <wp:effectExtent l="0" t="0" r="0" b="0"/>
                                      <wp:docPr id="24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5832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9.4pt;margin-top:1.3pt;width:4.55pt;height:12.05pt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3660" cy="154305"/>
                                      <wp:effectExtent l="0" t="0" r="0" b="0"/>
                                      <wp:docPr id="25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308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1.3pt;width:5.7pt;height:12.05pt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88900" cy="154305"/>
                                      <wp:effectExtent l="0" t="0" r="0" b="0"/>
                                      <wp:docPr id="26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820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-4.95pt;margin-top:1.3pt;width:6.9pt;height:12.05pt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52070" cy="154305"/>
                                      <wp:effectExtent l="0" t="0" r="0" b="0"/>
                                      <wp:docPr id="27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5148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34.75pt;margin-top:1.3pt;width:4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675" cy="154305"/>
                                      <wp:effectExtent l="0" t="0" r="0" b="0"/>
                                      <wp:docPr id="28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6588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9.55pt;margin-top:1.3pt;width:5.15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66040" cy="154305"/>
                                      <wp:effectExtent l="0" t="0" r="0" b="0"/>
                                      <wp:docPr id="29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6552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24.4pt;margin-top:1.3pt;width:5.1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4295" cy="154305"/>
                                      <wp:effectExtent l="0" t="0" r="0" b="0"/>
                                      <wp:docPr id="30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7380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8.6pt;margin-top:1.3pt;width:5.75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59055" cy="154305"/>
                                      <wp:effectExtent l="0" t="0" r="0" b="0"/>
                                      <wp:docPr id="31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5832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4pt;margin-top:1.3pt;width:4.55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80645" cy="154305"/>
                                      <wp:effectExtent l="0" t="0" r="0" b="0"/>
                                      <wp:docPr id="32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7992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7.7pt;margin-top:1.3pt;width:6.25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73660" cy="154305"/>
                                      <wp:effectExtent l="0" t="0" r="0" b="0"/>
                                      <wp:docPr id="33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7308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1.95pt;margin-top:1.3pt;width:5.7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88900" cy="154305"/>
                                      <wp:effectExtent l="0" t="0" r="0" b="0"/>
                                      <wp:docPr id="34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V="1">
                                                <a:off x="0" y="0"/>
                                                <a:ext cx="88200" cy="153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-4.95pt;margin-top:1.3pt;width:6.9pt;height:12.05pt;flip:y" type="shapetype_32">
                                      <w10:wrap type="none"/>
                                      <v:fill o:detectmouseclick="t" on="false"/>
                                      <v:stroke color="red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ind w:left="-53" w:hanging="0"/>
                              <w:rPr/>
                            </w:pPr>
                            <w:r>
                              <w:rPr/>
                              <w:t>а</w: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118110" cy="91440"/>
                                      <wp:effectExtent l="0" t="0" r="0" b="0"/>
                                      <wp:docPr id="35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17360" cy="90720"/>
                                              </a:xfrm>
                                              <a:prstGeom prst="flowChartConnector">
                                                <a:avLst/>
                                              </a:prstGeom>
                                              <a:solidFill>
                                                <a:srgbClr val="f79646"/>
                                              </a:solidFill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shapetype_120" coordsize="21600,21600" o:spt="120" path="m,10800qy@7@8qx@9@10qy@11@12qx@13@14xe">
                                      <v:stroke joinstyle="miter"/>
                                      <v:formulas>
                                        <v:f eqn="sumangle 0 45 0"/>
                                        <v:f eqn="cos 10800 @0"/>
                                        <v:f eqn="sin 10800 @0"/>
                                        <v:f eqn="sum 10800 0 @1"/>
                                        <v:f eqn="sum 10800 @1 0"/>
                                        <v:f eqn="sum 10800 0 @2"/>
                                        <v:f eqn="sum 10800 @2 0"/>
                                        <v:f eqn="sum 10800 0 0"/>
                                        <v:f eqn="sum 0 10800 10800"/>
                                        <v:f eqn="sum 10800 @7 0"/>
                                        <v:f eqn="sum 10800 @8 0"/>
                                        <v:f eqn="sum 0 @9 10800"/>
                                        <v:f eqn="sum 10800 @10 0"/>
                                        <v:f eqn="sum 0 @11 10800"/>
                                        <v:f eqn="sum 0 @12 10800"/>
                                      </v:formulas>
                                      <v:path gradientshapeok="t" o:connecttype="rect" textboxrect="@3,@5,@4,@6"/>
                                    </v:shapetype>
                                    <v:shape id="shape_0" fillcolor="#f79646" stroked="t" style="position:absolute;margin-left:29.55pt;margin-top:1.75pt;width:9.2pt;height:7.1pt" type="shapetype_120">
                                      <w10:wrap type="none"/>
                                      <v:fill o:detectmouseclick="t" type="solid" color2="#0869b9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80645" cy="81280"/>
                                      <wp:effectExtent l="0" t="0" r="0" b="0"/>
                                      <wp:docPr id="36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9920" cy="80640"/>
                                              </a:xfrm>
                                              <a:prstGeom prst="flowChartConnector">
                                                <a:avLst/>
                                              </a:prstGeom>
                                              <a:solidFill>
                                                <a:srgbClr val="f79646"/>
                                              </a:solidFill>
                                              <a:ln w="38160">
                                                <a:solidFill>
                                                  <a:srgbClr val="f2f2f2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fillcolor="#f79646" stroked="t" style="position:absolute;margin-left:7.7pt;margin-top:1.75pt;width:6.25pt;height:6.3pt" type="shapetype_120">
                                      <w10:wrap type="none"/>
                                      <v:fill o:detectmouseclick="t" type="solid" color2="#0869b9"/>
                                      <v:stroke color="#f2f2f2" weight="38160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/>
                              <w:t>)    б)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154305" cy="132715"/>
                                      <wp:effectExtent l="0" t="0" r="0" b="0"/>
                                      <wp:docPr id="37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53720" cy="132120"/>
                                              </a:xfrm>
                                              <a:prstGeom prst="flowChartConnector">
                                                <a:avLst/>
                                              </a:prstGeom>
                                              <a:solidFill>
                                                <a:srgbClr val="f79646"/>
                                              </a:solidFill>
                                              <a:ln>
                                                <a:solidFill>
                                                  <a:srgbClr val="0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fillcolor="#f79646" stroked="t" style="position:absolute;margin-left:9.4pt;margin-top:2.2pt;width:12.05pt;height:10.35pt" type="shapetype_120">
                                      <w10:wrap type="none"/>
                                      <v:fill o:detectmouseclick="t" type="solid" color2="#0869b9"/>
                                      <v:stroke color="black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82" w:type="dxa"/>
                            <w:gridSpan w:val="2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а</w: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360680" cy="1270"/>
                                      <wp:effectExtent l="0" t="0" r="0" b="0"/>
                                      <wp:docPr id="38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0000" cy="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9080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9.4pt;margin-top:9.05pt;width:28.3pt;height:0pt" type="shapetype_32">
                                      <w10:wrap type="none"/>
                                      <v:fill o:detectmouseclick="t" on="false"/>
                                      <v:stroke color="red" weight="19080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/>
                              <w:t>)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б</w:t>
                              <mc:AlternateContent>
                                <mc:Choice Requires="wps">
                                  <w:drawing>
                                    <wp:inline distT="0" distB="0" distL="114300" distR="114300">
                                      <wp:extent cx="360680" cy="1270"/>
                                      <wp:effectExtent l="0" t="0" r="0" b="0"/>
                                      <wp:docPr id="39" name="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0000" cy="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480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stroked="t" style="position:absolute;margin-left:9.4pt;margin-top:6.55pt;width:28.3pt;height:0pt" type="shapetype_32">
                                      <w10:wrap type="none"/>
                                      <v:fill o:detectmouseclick="t" on="false"/>
                                      <v:stroke color="red" weight="6480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/>
                              <w:t xml:space="preserve">) 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2">
                <wp:simplePos x="0" y="0"/>
                <wp:positionH relativeFrom="page">
                  <wp:posOffset>4928235</wp:posOffset>
                </wp:positionH>
                <wp:positionV relativeFrom="page">
                  <wp:posOffset>1097280</wp:posOffset>
                </wp:positionV>
                <wp:extent cx="289560" cy="2896870"/>
                <wp:effectExtent l="0" t="0" r="0" b="0"/>
                <wp:wrapSquare wrapText="bothSides"/>
                <wp:docPr id="40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687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af0"/>
                              <w:tblpPr w:bottomFromText="0" w:horzAnchor="page" w:leftFromText="180" w:rightFromText="180" w:tblpX="7869" w:tblpY="1728" w:topFromText="0" w:vertAnchor="page"/>
                              <w:tblW w:w="456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456"/>
                            </w:tblGrid>
                            <w:tr>
                              <w:trPr/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atLeast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6" w:hRule="atLeast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7" w:hRule="atLeast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.8pt;height:228.1pt;mso-wrap-distance-left:9pt;mso-wrap-distance-right:9pt;mso-wrap-distance-top:0pt;mso-wrap-distance-bottom:0pt;margin-top:86.4pt;mso-position-vertical-relative:page;margin-left:388.05pt;mso-position-horizontal-relative:page">
                <v:textbox inset="0in,0in,0in,0in">
                  <w:txbxContent>
                    <w:tbl>
                      <w:tblPr>
                        <w:tblStyle w:val="af0"/>
                        <w:tblpPr w:bottomFromText="0" w:horzAnchor="page" w:leftFromText="180" w:rightFromText="180" w:tblpX="7869" w:tblpY="1728" w:topFromText="0" w:vertAnchor="page"/>
                        <w:tblW w:w="456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456"/>
                      </w:tblGrid>
                      <w:tr>
                        <w:trPr/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22" w:hRule="atLeast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326" w:hRule="atLeast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337" w:hRule="atLeast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</w:tr>
                      <w:tr>
                        <w:trPr>
                          <w:trHeight w:val="299" w:hRule="atLeast"/>
                        </w:trPr>
                        <w:tc>
                          <w:tcPr>
                            <w:tcW w:w="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5">
                <wp:simplePos x="0" y="0"/>
                <wp:positionH relativeFrom="column">
                  <wp:posOffset>273050</wp:posOffset>
                </wp:positionH>
                <wp:positionV relativeFrom="paragraph">
                  <wp:posOffset>46990</wp:posOffset>
                </wp:positionV>
                <wp:extent cx="1270" cy="95250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94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1.5pt;margin-top:3.7pt;width:0pt;height:7.4pt;flip:y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6">
                <wp:simplePos x="0" y="0"/>
                <wp:positionH relativeFrom="column">
                  <wp:posOffset>375285</wp:posOffset>
                </wp:positionH>
                <wp:positionV relativeFrom="paragraph">
                  <wp:posOffset>91440</wp:posOffset>
                </wp:positionV>
                <wp:extent cx="118110" cy="1270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9.55pt;margin-top:7.2pt;width:9.2pt;height:0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8">
                <wp:simplePos x="0" y="0"/>
                <wp:positionH relativeFrom="column">
                  <wp:posOffset>375285</wp:posOffset>
                </wp:positionH>
                <wp:positionV relativeFrom="paragraph">
                  <wp:posOffset>142240</wp:posOffset>
                </wp:positionV>
                <wp:extent cx="66675" cy="44450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9.55pt;margin-top:11.2pt;width:5.15pt;height:3.4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9">
                <wp:simplePos x="0" y="0"/>
                <wp:positionH relativeFrom="column">
                  <wp:posOffset>24765</wp:posOffset>
                </wp:positionH>
                <wp:positionV relativeFrom="paragraph">
                  <wp:posOffset>91440</wp:posOffset>
                </wp:positionV>
                <wp:extent cx="73660" cy="514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080" cy="50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7.2pt;width:5.7pt;height:3.95pt;flip:y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0">
                <wp:simplePos x="0" y="0"/>
                <wp:positionH relativeFrom="column">
                  <wp:posOffset>375285</wp:posOffset>
                </wp:positionH>
                <wp:positionV relativeFrom="paragraph">
                  <wp:posOffset>59690</wp:posOffset>
                </wp:positionV>
                <wp:extent cx="1270" cy="44450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43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9.55pt;margin-top:4.7pt;width:0pt;height:3.4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1">
                <wp:simplePos x="0" y="0"/>
                <wp:positionH relativeFrom="column">
                  <wp:posOffset>177800</wp:posOffset>
                </wp:positionH>
                <wp:positionV relativeFrom="paragraph">
                  <wp:posOffset>15240</wp:posOffset>
                </wp:positionV>
                <wp:extent cx="95885" cy="1270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4pt;margin-top:1.2pt;width:7.45pt;height:0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2">
                <wp:simplePos x="0" y="0"/>
                <wp:positionH relativeFrom="column">
                  <wp:posOffset>24765</wp:posOffset>
                </wp:positionH>
                <wp:positionV relativeFrom="paragraph">
                  <wp:posOffset>15240</wp:posOffset>
                </wp:positionV>
                <wp:extent cx="73660" cy="45085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0" cy="44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1.2pt;width:5.7pt;height:3.45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3">
                <wp:simplePos x="0" y="0"/>
                <wp:positionH relativeFrom="column">
                  <wp:posOffset>2540</wp:posOffset>
                </wp:positionH>
                <wp:positionV relativeFrom="paragraph">
                  <wp:posOffset>64135</wp:posOffset>
                </wp:positionV>
                <wp:extent cx="66040" cy="66675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0.2pt;margin-top:5.05pt;width:5.1pt;height:5.15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4">
                <wp:simplePos x="0" y="0"/>
                <wp:positionH relativeFrom="column">
                  <wp:posOffset>2540</wp:posOffset>
                </wp:positionH>
                <wp:positionV relativeFrom="paragraph">
                  <wp:posOffset>64135</wp:posOffset>
                </wp:positionV>
                <wp:extent cx="66040" cy="66675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2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0.2pt;margin-top:5.05pt;width:5.1pt;height:5.15pt;flip:y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5">
                <wp:simplePos x="0" y="0"/>
                <wp:positionH relativeFrom="column">
                  <wp:posOffset>309880</wp:posOffset>
                </wp:positionH>
                <wp:positionV relativeFrom="paragraph">
                  <wp:posOffset>70485</wp:posOffset>
                </wp:positionV>
                <wp:extent cx="66040" cy="6667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2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4.4pt;margin-top:5.55pt;width:5.1pt;height:5.15pt;flip:y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6">
                <wp:simplePos x="0" y="0"/>
                <wp:positionH relativeFrom="column">
                  <wp:posOffset>309880</wp:posOffset>
                </wp:positionH>
                <wp:positionV relativeFrom="paragraph">
                  <wp:posOffset>70485</wp:posOffset>
                </wp:positionV>
                <wp:extent cx="66040" cy="66675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4.4pt;margin-top:5.55pt;width:5.1pt;height:5.15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7">
                <wp:simplePos x="0" y="0"/>
                <wp:positionH relativeFrom="column">
                  <wp:posOffset>24765</wp:posOffset>
                </wp:positionH>
                <wp:positionV relativeFrom="paragraph">
                  <wp:posOffset>70485</wp:posOffset>
                </wp:positionV>
                <wp:extent cx="73660" cy="6667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5.55pt;width:5.7pt;height:5.15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8">
                <wp:simplePos x="0" y="0"/>
                <wp:positionH relativeFrom="column">
                  <wp:posOffset>24765</wp:posOffset>
                </wp:positionH>
                <wp:positionV relativeFrom="paragraph">
                  <wp:posOffset>70485</wp:posOffset>
                </wp:positionV>
                <wp:extent cx="73660" cy="6667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080" cy="65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5.55pt;width:5.7pt;height:5.15pt;flip:y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9">
                <wp:simplePos x="0" y="0"/>
                <wp:positionH relativeFrom="column">
                  <wp:posOffset>309880</wp:posOffset>
                </wp:positionH>
                <wp:positionV relativeFrom="paragraph">
                  <wp:posOffset>69215</wp:posOffset>
                </wp:positionV>
                <wp:extent cx="66040" cy="1270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4.4pt;margin-top:5.45pt;width:5.1pt;height:0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0">
                <wp:simplePos x="0" y="0"/>
                <wp:positionH relativeFrom="column">
                  <wp:posOffset>309880</wp:posOffset>
                </wp:positionH>
                <wp:positionV relativeFrom="paragraph">
                  <wp:posOffset>69215</wp:posOffset>
                </wp:positionV>
                <wp:extent cx="1270" cy="12446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23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4.4pt;margin-top:5.45pt;width:0pt;height:9.7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1">
                <wp:simplePos x="0" y="0"/>
                <wp:positionH relativeFrom="column">
                  <wp:posOffset>24765</wp:posOffset>
                </wp:positionH>
                <wp:positionV relativeFrom="paragraph">
                  <wp:posOffset>69215</wp:posOffset>
                </wp:positionV>
                <wp:extent cx="73660" cy="1270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5.45pt;width:5.7pt;height:0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2">
                <wp:simplePos x="0" y="0"/>
                <wp:positionH relativeFrom="column">
                  <wp:posOffset>24765</wp:posOffset>
                </wp:positionH>
                <wp:positionV relativeFrom="paragraph">
                  <wp:posOffset>69215</wp:posOffset>
                </wp:positionV>
                <wp:extent cx="1270" cy="124460"/>
                <wp:effectExtent l="0" t="0" r="0" b="0"/>
                <wp:wrapNone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23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5.45pt;width:0pt;height:9.7pt" type="shapetype_32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3">
                <wp:simplePos x="0" y="0"/>
                <wp:positionH relativeFrom="column">
                  <wp:posOffset>426720</wp:posOffset>
                </wp:positionH>
                <wp:positionV relativeFrom="paragraph">
                  <wp:posOffset>16510</wp:posOffset>
                </wp:positionV>
                <wp:extent cx="66675" cy="154305"/>
                <wp:effectExtent l="0" t="0" r="0" b="0"/>
                <wp:wrapNone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3.6pt;margin-top:1.3pt;width:5.15pt;height:12.05pt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4">
                <wp:simplePos x="0" y="0"/>
                <wp:positionH relativeFrom="column">
                  <wp:posOffset>309880</wp:posOffset>
                </wp:positionH>
                <wp:positionV relativeFrom="paragraph">
                  <wp:posOffset>16510</wp:posOffset>
                </wp:positionV>
                <wp:extent cx="66040" cy="154305"/>
                <wp:effectExtent l="0" t="0" r="0" b="0"/>
                <wp:wrapNone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4.4pt;margin-top:1.3pt;width:5.1pt;height:12.05pt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5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59055" cy="154305"/>
                <wp:effectExtent l="0" t="0" r="0" b="0"/>
                <wp:wrapNone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6.9pt;margin-top:1.3pt;width:4.55pt;height:12.05pt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6">
                <wp:simplePos x="0" y="0"/>
                <wp:positionH relativeFrom="column">
                  <wp:posOffset>119380</wp:posOffset>
                </wp:positionH>
                <wp:positionV relativeFrom="paragraph">
                  <wp:posOffset>16510</wp:posOffset>
                </wp:positionV>
                <wp:extent cx="59055" cy="154305"/>
                <wp:effectExtent l="0" t="0" r="0" b="0"/>
                <wp:wrapNone/>
                <wp:docPr id="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9.4pt;margin-top:1.3pt;width:4.55pt;height:12.05pt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7">
                <wp:simplePos x="0" y="0"/>
                <wp:positionH relativeFrom="column">
                  <wp:posOffset>24765</wp:posOffset>
                </wp:positionH>
                <wp:positionV relativeFrom="paragraph">
                  <wp:posOffset>16510</wp:posOffset>
                </wp:positionV>
                <wp:extent cx="73660" cy="154305"/>
                <wp:effectExtent l="0" t="0" r="0" b="0"/>
                <wp:wrapNone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1.3pt;width:5.7pt;height:12.05pt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8">
                <wp:simplePos x="0" y="0"/>
                <wp:positionH relativeFrom="column">
                  <wp:posOffset>-62865</wp:posOffset>
                </wp:positionH>
                <wp:positionV relativeFrom="paragraph">
                  <wp:posOffset>16510</wp:posOffset>
                </wp:positionV>
                <wp:extent cx="88900" cy="154305"/>
                <wp:effectExtent l="0" t="0" r="0" b="0"/>
                <wp:wrapNone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4.95pt;margin-top:1.3pt;width:6.9pt;height:12.05pt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9">
                <wp:simplePos x="0" y="0"/>
                <wp:positionH relativeFrom="column">
                  <wp:posOffset>441325</wp:posOffset>
                </wp:positionH>
                <wp:positionV relativeFrom="paragraph">
                  <wp:posOffset>16510</wp:posOffset>
                </wp:positionV>
                <wp:extent cx="52070" cy="154305"/>
                <wp:effectExtent l="0" t="0" r="0" b="0"/>
                <wp:wrapNone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48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4.75pt;margin-top:1.3pt;width:4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0">
                <wp:simplePos x="0" y="0"/>
                <wp:positionH relativeFrom="column">
                  <wp:posOffset>375285</wp:posOffset>
                </wp:positionH>
                <wp:positionV relativeFrom="paragraph">
                  <wp:posOffset>16510</wp:posOffset>
                </wp:positionV>
                <wp:extent cx="66675" cy="154305"/>
                <wp:effectExtent l="0" t="0" r="0" b="0"/>
                <wp:wrapNone/>
                <wp:docPr id="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88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9.55pt;margin-top:1.3pt;width:5.15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1">
                <wp:simplePos x="0" y="0"/>
                <wp:positionH relativeFrom="column">
                  <wp:posOffset>309880</wp:posOffset>
                </wp:positionH>
                <wp:positionV relativeFrom="paragraph">
                  <wp:posOffset>16510</wp:posOffset>
                </wp:positionV>
                <wp:extent cx="66040" cy="154305"/>
                <wp:effectExtent l="0" t="0" r="0" b="0"/>
                <wp:wrapNone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2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4.4pt;margin-top:1.3pt;width:5.1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2">
                <wp:simplePos x="0" y="0"/>
                <wp:positionH relativeFrom="column">
                  <wp:posOffset>236220</wp:posOffset>
                </wp:positionH>
                <wp:positionV relativeFrom="paragraph">
                  <wp:posOffset>16510</wp:posOffset>
                </wp:positionV>
                <wp:extent cx="74295" cy="154305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80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8.6pt;margin-top:1.3pt;width:5.75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3">
                <wp:simplePos x="0" y="0"/>
                <wp:positionH relativeFrom="column">
                  <wp:posOffset>177800</wp:posOffset>
                </wp:positionH>
                <wp:positionV relativeFrom="paragraph">
                  <wp:posOffset>16510</wp:posOffset>
                </wp:positionV>
                <wp:extent cx="59055" cy="154305"/>
                <wp:effectExtent l="0" t="0" r="0" b="0"/>
                <wp:wrapNone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32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4pt;margin-top:1.3pt;width:4.55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column">
                  <wp:posOffset>97790</wp:posOffset>
                </wp:positionH>
                <wp:positionV relativeFrom="paragraph">
                  <wp:posOffset>16510</wp:posOffset>
                </wp:positionV>
                <wp:extent cx="80645" cy="154305"/>
                <wp:effectExtent l="0" t="0" r="0" b="0"/>
                <wp:wrapNone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92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7.7pt;margin-top:1.3pt;width:6.25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column">
                  <wp:posOffset>24765</wp:posOffset>
                </wp:positionH>
                <wp:positionV relativeFrom="paragraph">
                  <wp:posOffset>16510</wp:posOffset>
                </wp:positionV>
                <wp:extent cx="73660" cy="154305"/>
                <wp:effectExtent l="0" t="0" r="0" b="0"/>
                <wp:wrapNone/>
                <wp:docPr id="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08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.95pt;margin-top:1.3pt;width:5.7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6">
                <wp:simplePos x="0" y="0"/>
                <wp:positionH relativeFrom="column">
                  <wp:posOffset>-62865</wp:posOffset>
                </wp:positionH>
                <wp:positionV relativeFrom="paragraph">
                  <wp:posOffset>16510</wp:posOffset>
                </wp:positionV>
                <wp:extent cx="88900" cy="154305"/>
                <wp:effectExtent l="0" t="0" r="0" b="0"/>
                <wp:wrapNone/>
                <wp:docPr id="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200" cy="153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4.95pt;margin-top:1.3pt;width:6.9pt;height:12.05pt;flip:y" type="shapetype_32">
                <w10:wrap type="none"/>
                <v:fill o:detectmouseclick="t" on="false"/>
                <v:stroke color="red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7">
                <wp:simplePos x="0" y="0"/>
                <wp:positionH relativeFrom="column">
                  <wp:posOffset>375285</wp:posOffset>
                </wp:positionH>
                <wp:positionV relativeFrom="paragraph">
                  <wp:posOffset>22225</wp:posOffset>
                </wp:positionV>
                <wp:extent cx="118110" cy="91440"/>
                <wp:effectExtent l="0" t="0" r="0" b="0"/>
                <wp:wrapNone/>
                <wp:docPr id="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" cy="90720"/>
                        </a:xfrm>
                        <a:prstGeom prst="flowChartConnector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79646" stroked="t" style="position:absolute;margin-left:29.55pt;margin-top:1.75pt;width:9.2pt;height:7.1pt" type="shapetype_120">
                <w10:wrap type="none"/>
                <v:fill o:detectmouseclick="t" type="solid" color2="#0869b9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8">
                <wp:simplePos x="0" y="0"/>
                <wp:positionH relativeFrom="column">
                  <wp:posOffset>97790</wp:posOffset>
                </wp:positionH>
                <wp:positionV relativeFrom="paragraph">
                  <wp:posOffset>22225</wp:posOffset>
                </wp:positionV>
                <wp:extent cx="80645" cy="81280"/>
                <wp:effectExtent l="0" t="0" r="0" b="0"/>
                <wp:wrapNone/>
                <wp:docPr id="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20" cy="80640"/>
                        </a:xfrm>
                        <a:prstGeom prst="flowChartConnector">
                          <a:avLst/>
                        </a:prstGeom>
                        <a:solidFill>
                          <a:srgbClr val="f79646"/>
                        </a:solidFill>
                        <a:ln w="38160">
                          <a:solidFill>
                            <a:srgbClr val="f2f2f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79646" stroked="t" style="position:absolute;margin-left:7.7pt;margin-top:1.75pt;width:6.25pt;height:6.3pt" type="shapetype_120">
                <w10:wrap type="none"/>
                <v:fill o:detectmouseclick="t" type="solid" color2="#0869b9"/>
                <v:stroke color="#f2f2f2" weight="38160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9">
                <wp:simplePos x="0" y="0"/>
                <wp:positionH relativeFrom="column">
                  <wp:posOffset>119380</wp:posOffset>
                </wp:positionH>
                <wp:positionV relativeFrom="paragraph">
                  <wp:posOffset>27940</wp:posOffset>
                </wp:positionV>
                <wp:extent cx="154305" cy="132715"/>
                <wp:effectExtent l="0" t="0" r="0" b="0"/>
                <wp:wrapNone/>
                <wp:docPr id="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20" cy="132120"/>
                        </a:xfrm>
                        <a:prstGeom prst="flowChartConnector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79646" stroked="t" style="position:absolute;margin-left:9.4pt;margin-top:2.2pt;width:12.05pt;height:10.35pt" type="shapetype_120">
                <w10:wrap type="none"/>
                <v:fill o:detectmouseclick="t" type="solid" color2="#0869b9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0">
                <wp:simplePos x="0" y="0"/>
                <wp:positionH relativeFrom="column">
                  <wp:posOffset>119380</wp:posOffset>
                </wp:positionH>
                <wp:positionV relativeFrom="paragraph">
                  <wp:posOffset>114935</wp:posOffset>
                </wp:positionV>
                <wp:extent cx="360680" cy="1270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9.4pt;margin-top:9.05pt;width:28.3pt;height:0pt" type="shapetype_32">
                <w10:wrap type="none"/>
                <v:fill o:detectmouseclick="t" on="false"/>
                <v:stroke color="red" weight="19080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1">
                <wp:simplePos x="0" y="0"/>
                <wp:positionH relativeFrom="column">
                  <wp:posOffset>119380</wp:posOffset>
                </wp:positionH>
                <wp:positionV relativeFrom="paragraph">
                  <wp:posOffset>83185</wp:posOffset>
                </wp:positionV>
                <wp:extent cx="360680" cy="1270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9.4pt;margin-top:6.55pt;width:28.3pt;height:0pt" type="shapetype_32">
                <w10:wrap type="none"/>
                <v:fill o:detectmouseclick="t" on="false"/>
                <v:stroke color="red" weight="6480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highlight w:val="red"/>
        </w:rPr>
        <w:t>КАРТУ ЗАМЕНИТЬ НА СТАРУЮ</w:t>
      </w:r>
      <w:r>
        <w:rPr>
          <w:rFonts w:cs="Times New Roman" w:ascii="Times New Roman" w:hAnsi="Times New Roman"/>
          <w:sz w:val="24"/>
          <w:szCs w:val="24"/>
          <w:highlight w:val="red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1- аллювиальные и делювиально-пролювиальные отложения; 2- красноцветные песчаники, гравелиты; 3- песчаники, туфопесчаники, туфогравелиты; 4-  базальтовые, андезитовые порфириты; 5- гранит-порфиры и кварцевые порфиры; 6- плагиограниты и нерасчлененные плагиограниты; 7- диориты; 8- габброиды; 9- скарны; 10- а) точки минерализации; б) рудопроявления золота; 11- месторождения золота; 12- а) региональный разлом, б) локальные разломы.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региональном плане Тарданский рудный узел расположен на юге Алтае-Саянской складчатой области. Рудный узел приурочен к краевой северо-западной части Каа-Хемского плутона, внедрившегося в разновозрастные отложения вулканогенно-терригенно-карбонатного состава, в зоне глубинного Каа-Хемского разлома. Стратифицированные образования относятся к вулканогенной туматтайгинской свите позднерифейского возраста, карбонатной вадибалинской свите венд-раннекембрийского возраста, а также к красноцветным песчаникам дерзигской свиты силурийского возраста (</w:t>
      </w:r>
      <w:r>
        <w:rPr>
          <w:sz w:val="24"/>
          <w:szCs w:val="24"/>
          <w:highlight w:val="yellow"/>
        </w:rPr>
        <w:t>рис. 1.2</w:t>
      </w:r>
      <w:bookmarkStart w:id="0" w:name="_Toc321563814"/>
      <w:bookmarkStart w:id="1" w:name="_Toc321563513"/>
      <w:bookmarkStart w:id="2" w:name="_Toc202961053"/>
      <w:bookmarkEnd w:id="0"/>
      <w:bookmarkEnd w:id="1"/>
      <w:bookmarkEnd w:id="2"/>
      <w:r>
        <w:rPr>
          <w:sz w:val="24"/>
          <w:szCs w:val="24"/>
        </w:rPr>
        <w:t>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стратиграфическом отношении геологическое строение района характеризуют отложения рифейского, венд-кембрийского, силурийскоговозраста, а также отложения четверичной системы.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Позднерифейские-нижнекембрийскиеотложения Тарданского рудного узла и прилегающих площадей геологосъемочными и тематическими работами расчленены на три свиты: охемскую, туматтайгинскую и вадибалинскую (Кильчичаков, 1976ф).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>Охемская свита (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  <w:vertAlign w:val="subscript"/>
        </w:rPr>
        <w:t>2-3</w:t>
      </w:r>
      <w:r>
        <w:rPr>
          <w:sz w:val="24"/>
          <w:szCs w:val="24"/>
        </w:rPr>
        <w:t> </w:t>
      </w:r>
      <w:r>
        <w:rPr>
          <w:i/>
          <w:sz w:val="24"/>
          <w:szCs w:val="24"/>
          <w:lang w:val="en-US"/>
        </w:rPr>
        <w:t>oh</w:t>
      </w:r>
      <w:r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>прослеживается на 85–95 км полосой широтного направления (зона Каа-Хемского разлома) от среднего течения р. Тапса до левобережья притоков среднего течения р. Дерзиг (Кальная, 2002ф).</w:t>
      </w:r>
    </w:p>
    <w:p>
      <w:pPr>
        <w:pStyle w:val="Style21"/>
        <w:rPr/>
      </w:pPr>
      <w:r>
        <w:rPr>
          <w:sz w:val="24"/>
          <w:szCs w:val="24"/>
        </w:rPr>
        <w:t xml:space="preserve">В пределах Тарданского рудного узла,отложения свиты распространены исключительно в зоне Каа-Хемского глубинного разлома, на месте бывшей тапсинской свиты, отнесенной в последних схемах корреляции к невалидным образованиям. Отложения слагают территорию, прилегающую на севере-северо-востоке к лицензионной площади. Свита имеет неоднородный состав: метаалевролиты, метапесчаники, хлоритовые, карбонат-хлоритовые сланцы, прослои, линзы мраморизованных известняков, метабазальты, метаандезиты, рассланцованные порфиры, метатуфопесчаники, метатуфогравелиты, метатуфоконгломераты. Метаморфизм пород охемской свиты не превышает мусковит-хлоритовой субфации фации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f0"/>
        <w:tblW w:w="104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421"/>
      </w:tblGrid>
      <w:tr>
        <w:trPr/>
        <w:tc>
          <w:tcPr>
            <w:tcW w:w="1042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19050" distR="8255">
                  <wp:extent cx="5420995" cy="7324725"/>
                  <wp:effectExtent l="0" t="0" r="0" b="0"/>
                  <wp:docPr id="77" name="Рисунок 5" descr="D:\Совлук А.В\Рабочая\Отчёт\Рисунки\Схема тектонического строения Тарданского рудного узла и прилегающих территор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5" descr="D:\Совлук А.В\Рабочая\Отчёт\Рисунки\Схема тектонического строения Тарданского рудного узла и прилегающих территор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995" cy="732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042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51"/>
        <w:spacing w:before="0" w:after="0"/>
        <w:rPr>
          <w:sz w:val="20"/>
        </w:rPr>
      </w:pPr>
      <w:bookmarkStart w:id="3" w:name="_Toc383960959"/>
      <w:bookmarkEnd w:id="3"/>
      <w:r>
        <w:rPr>
          <w:sz w:val="20"/>
        </w:rPr>
        <w:t>Рис. 1.2. Тектоническая схема Тарданского рудного узла (Тверянкин, 1965) Масштаб 1:500 000</w:t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Style21"/>
        <w:ind w:hanging="0"/>
        <w:rPr>
          <w:sz w:val="24"/>
          <w:szCs w:val="24"/>
        </w:rPr>
      </w:pPr>
      <w:r>
        <w:rPr>
          <w:sz w:val="24"/>
          <w:szCs w:val="24"/>
        </w:rPr>
        <w:t>зеленых сланцев. Для сланцевой толщи зоны Каа-Хемского разлома характерно моноклинальное залегание пород с субширотным простиранием.Контакты с вышележащими породами и образованиями таннуольского комплекса тектонические. Зеленосланцевые рифейские отложения вмещают в себя более 90 % россыпной золотоносности Тувы. Мощность отложений не менее 3500 м.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 xml:space="preserve">Туматтайгинская свита 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 </w:t>
      </w:r>
      <w:r>
        <w:rPr>
          <w:i/>
          <w:sz w:val="24"/>
          <w:szCs w:val="24"/>
          <w:lang w:val="en-US"/>
        </w:rPr>
        <w:t>tm</w:t>
      </w:r>
      <w:r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>широко распространена в пределах площади проводимых работ. Свита представлена позднерифейскими образованиями базальт-андезит-дацитовой формации. Поля распространения позднерифейских вулканитов с севера ограничены зоной Каа-Хемского разлома и представляют собой провесы кровли Каа-Хемского ареалплутона таннуольского комплекса. Этим обстоятельством обусловлен площадной характер ороговикования пород свиты. Наибольшее распространение свита получила в междуречье Копто-Бай-Сют, где её отложения разделяют Буренский и Копто-Бай-Сютский массивы таннуольского комплекса. Мощность свиты достигает 2000 м (Кальная, 2002ф).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>Вадибалинская свита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>-</w:t>
      </w:r>
      <w:r>
        <w:rPr>
          <w:rStyle w:val="Style14"/>
          <w:szCs w:val="24"/>
        </w:rPr>
        <w:t>Є</w:t>
      </w:r>
      <w:r>
        <w:rPr>
          <w:sz w:val="24"/>
          <w:szCs w:val="24"/>
          <w:vertAlign w:val="subscript"/>
          <w:lang w:val="en-US"/>
        </w:rPr>
        <w:t> 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  <w:vertAlign w:val="subscript"/>
          <w:lang w:val="en-US"/>
        </w:rPr>
        <w:t> </w:t>
      </w:r>
      <w:r>
        <w:rPr>
          <w:i/>
          <w:sz w:val="24"/>
          <w:szCs w:val="24"/>
          <w:lang w:val="en-US"/>
        </w:rPr>
        <w:t>vd</w:t>
      </w:r>
      <w:r>
        <w:rPr>
          <w:sz w:val="24"/>
          <w:szCs w:val="24"/>
        </w:rPr>
        <w:t>) свита сложена массивными светлыми различных оттенков доломитами, доломитистыми известняками и в меньшей степени известняками. На площади рудного узла наибольшее распространение вадибалинская свита получила на левобережье р.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Бай-Сют. Отложения свиты прослеживаются вдоль западной-юго-западной границы Копто-Бай-Сютского интрузивного массива на расстояние более 22 км при ширине до 1,5 км. Большинство границ с вышележащими отложениями туматтайгинской свиты имеют тектонический характер, а контакты с интрузивными образованиями зачастую скарнированы. В основании свиты залегает толща мраморизованных известняков с линзами эффузивов - мощность до 400 м. Выше по разрезу сменяется оолитовыми мраморизованными известняками - мощность до 300 м. Оолитовые мраморированные известняки, в свою очередь, сменяются кварц-плагиоклазовыми порфирами - мощность до 100 м (Вамбольдт, 2008). Общая мощность свиты 600-800 м.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>Дерзигская свита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  <w:vertAlign w:val="subscript"/>
        </w:rPr>
        <w:t>1-2 </w:t>
      </w:r>
      <w:r>
        <w:rPr>
          <w:i/>
          <w:sz w:val="24"/>
          <w:szCs w:val="24"/>
          <w:lang w:val="en-US"/>
        </w:rPr>
        <w:t>dr</w:t>
      </w:r>
      <w:r>
        <w:rPr>
          <w:sz w:val="24"/>
          <w:szCs w:val="24"/>
        </w:rPr>
        <w:t>) в районе работ наиболее распространена в верховьях р Дерзиг в 22 км от Тарданского рудного узла в северо-восточном направлении. В пределах рудного узла дерзигская свита расположена в его южной части и прослежена на 12 км от правобережья среднего течения р. Бай-Сют до урочища Кара-Суг.По ширине отложения прослеживаются на расстояние до 3 км.С севера и востока свита ограничивается разломами, с запада – Бреньским массивом таннуольского комплекса, с юга граница погребена под четвертичными отложениями. (Тверянкин, 1965ф). Кроме южной части лицензионного участка, отложения дерзигской свиты обнаружены в его северо-восточной части. Здесь они представлены небольшим тектоническим блоком в зоне Каа-Хемского Южного разлома.В целом породыпредставлены красноцветными разнозернистыми песчаниками, гравелитами, конгломератами с редкими линзами известняков. Известняки свиты содержат обильную фауну брахиопод и мшанок раннего и позднего силура. Мощность свиты в нижнем течении р. Бай-Сют, где она с глубоким размывом залегает на гранитоидах таннуольского комплекса, 150 м. Мощность свиты в бассейне р. Дерзиг – 600 м.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>Четвертичные отложения</w:t>
      </w:r>
      <w:r>
        <w:rPr>
          <w:sz w:val="24"/>
          <w:szCs w:val="24"/>
        </w:rPr>
        <w:t xml:space="preserve"> подразделены в районе на средний, верхний, нерасчлененный современный и верхний, и современный отделы (Тверянкин, 1965ф).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Нерасчлененный современный и верхний отдел (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III</w:t>
      </w:r>
      <w:r>
        <w:rPr>
          <w:sz w:val="24"/>
          <w:szCs w:val="24"/>
          <w:vertAlign w:val="subscript"/>
        </w:rPr>
        <w:t>-</w:t>
      </w:r>
      <w:r>
        <w:rPr>
          <w:sz w:val="24"/>
          <w:szCs w:val="24"/>
          <w:vertAlign w:val="subscript"/>
          <w:lang w:val="en-US"/>
        </w:rPr>
        <w:t>IV</w:t>
      </w:r>
      <w:r>
        <w:rPr>
          <w:sz w:val="24"/>
          <w:szCs w:val="24"/>
        </w:rPr>
        <w:t>) включает в себя делювиально-пролювиальные и делювиально-солифлюкционные отложениями находящиеся на правобережье рек Копто, Бай-Сют, Соруглуг-Хем и в долине р. Кара-Суг. Кроме того, делювиально-пролювиальные отложения наблюдаются у верховийлевых притоков р. Бай-Сют. Они представлены лёссовидными суглинками с незначительным количеством обломков местных пород. По данным буровых работ их мощность достигает 30 м.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Современный отдел (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>IV</w:t>
      </w:r>
      <w:r>
        <w:rPr>
          <w:sz w:val="24"/>
          <w:szCs w:val="24"/>
        </w:rPr>
        <w:t>) сложен аллювиальными отложениями пойм и русел рек (Кильчичаков, 1976ф). Современные пойменные и русловые аллювиальные отложения распространены в долинах всех водотоков. Мощность аллювия изменяется от 3 до 15 м.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аллювиальных отложениях поймы рек Бай-Сют и Соруглуг-Хем локализованы золотоносные россыпи, частично отработанные. Оставшиеся запасы около 500 кг пригодны для открытой добычи. Мощность аллювия колеблется от 5 до 80 м.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Интрузивные породы слагают более 50 % площади района. Представлены метагаббро актовракского гипербазитового комплекса и разнообразными породами, преимущественно кислыми, таннуольского комплекса.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 xml:space="preserve">Актовракский комплекс </w:t>
      </w:r>
      <w:r>
        <w:rPr>
          <w:sz w:val="24"/>
          <w:szCs w:val="24"/>
        </w:rPr>
        <w:t>(σ </w:t>
      </w:r>
      <w:r>
        <w:rPr>
          <w:rStyle w:val="Style14"/>
          <w:szCs w:val="24"/>
        </w:rPr>
        <w:t>Є</w:t>
      </w:r>
      <w:r>
        <w:rPr>
          <w:rStyle w:val="Style14"/>
          <w:szCs w:val="24"/>
          <w:vertAlign w:val="subscript"/>
        </w:rPr>
        <w:t>1</w:t>
      </w:r>
      <w:r>
        <w:rPr>
          <w:sz w:val="24"/>
          <w:szCs w:val="24"/>
        </w:rPr>
        <w:t> </w:t>
      </w:r>
      <w:r>
        <w:rPr>
          <w:i/>
          <w:sz w:val="24"/>
          <w:szCs w:val="24"/>
          <w:lang w:val="en-US"/>
        </w:rPr>
        <w:t>ak</w:t>
      </w:r>
      <w:r>
        <w:rPr>
          <w:sz w:val="24"/>
          <w:szCs w:val="24"/>
        </w:rPr>
        <w:t>) представлен мелкими линзовиднымителами метагаббро, которыерасполагаются исключительносреди отложений охемскои свиты и находятся в пределах подвижной зоны Каа-Хемского глубинного разлома. Все тела комплекса интенсивно серпентинизированы. По составу преобладают антигоритовые серпентиниты. Взаимоотношения с вмещающими породами тектонические. Экзоконтактовые изменения практически отсутствуют. Первичные породы дунитового состава сохранились только в центральных частях наиболее крупных массивов (Тверянкин, 1965ф). На площадиработ установлен лишьодин из массивов актовракского комплекса. Располагается он в северо-восточной части лицензионного участка, на левобережье реки Чанд-Хем. В плане массив представляет, вытянутое в северо-западном направлении, линзовидное тело длиной около 5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км (в пределах площади работ находится только его западная часть – 2,5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км) и шириной около 1,7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км.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>Мажалыкский комплекс</w:t>
      </w:r>
      <w:r>
        <w:rPr>
          <w:sz w:val="24"/>
          <w:szCs w:val="24"/>
        </w:rPr>
        <w:t xml:space="preserve"> (ν-ʋ </w:t>
      </w:r>
      <w:r>
        <w:rPr>
          <w:rStyle w:val="Style14"/>
          <w:szCs w:val="24"/>
        </w:rPr>
        <w:t>Є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?</w:t>
      </w:r>
      <w:r>
        <w:rPr>
          <w:sz w:val="24"/>
          <w:szCs w:val="24"/>
          <w:lang w:val="en-US"/>
        </w:rPr>
        <w:t> </w:t>
      </w:r>
      <w:r>
        <w:rPr>
          <w:i/>
          <w:sz w:val="24"/>
          <w:szCs w:val="24"/>
          <w:lang w:val="en-US"/>
        </w:rPr>
        <w:t>m</w:t>
      </w:r>
      <w:r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выделяется в юго-восточной части Тарданского рудного узла. В массиве откартированы следующие петрографические разности: габбро и пироксениты. Габбро представляют собой темно-серую с зеленоватым оттенком породу, средне-, редко мелкозернистой структуры, габбровой микроструктуры, массивной текстурой. В их составе отмечаются плагиоклаз (андезин-лабрадор) в количестве до 40 %, роговая обманка и пироксен – 40–50 %, характерной особенностью является наличие магнетита – 6-10%. Пироксениты слагают блоки размером до 900 м, которые круто погружаются под вмещающие породы. Макроскопически это темно-серые до черного цвета породы, крупнозернистой структуры, массивной текстуры. Минеральный состав представлен клинопироксеном, ортопироксеном, битовнитом и магнетитом – от 5 до 12 %.</w:t>
      </w:r>
    </w:p>
    <w:p>
      <w:pPr>
        <w:pStyle w:val="Style21"/>
        <w:rPr>
          <w:sz w:val="24"/>
          <w:szCs w:val="24"/>
        </w:rPr>
      </w:pPr>
      <w:r>
        <w:rPr>
          <w:i/>
          <w:sz w:val="24"/>
          <w:szCs w:val="24"/>
        </w:rPr>
        <w:t xml:space="preserve">Таннуольский комплекс </w:t>
      </w:r>
      <w:r>
        <w:rPr>
          <w:sz w:val="24"/>
          <w:szCs w:val="24"/>
        </w:rPr>
        <w:t>(γδ</w:t>
      </w:r>
      <w:r>
        <w:rPr>
          <w:sz w:val="24"/>
          <w:szCs w:val="24"/>
          <w:lang w:val="en-US"/>
        </w:rPr>
        <w:t> </w:t>
      </w:r>
      <w:r>
        <w:rPr>
          <w:rStyle w:val="Style14"/>
          <w:szCs w:val="24"/>
        </w:rPr>
        <w:t>Є</w:t>
      </w:r>
      <w:r>
        <w:rPr>
          <w:rStyle w:val="Style14"/>
          <w:szCs w:val="24"/>
          <w:vertAlign w:val="subscript"/>
        </w:rPr>
        <w:t>2</w:t>
      </w:r>
      <w:r>
        <w:rPr>
          <w:sz w:val="24"/>
          <w:szCs w:val="24"/>
          <w:lang w:val="en-US"/>
        </w:rPr>
        <w:t> </w:t>
      </w:r>
      <w:r>
        <w:rPr>
          <w:i/>
          <w:sz w:val="24"/>
          <w:szCs w:val="24"/>
          <w:lang w:val="en-US"/>
        </w:rPr>
        <w:t>t</w:t>
      </w:r>
      <w:r>
        <w:rPr>
          <w:sz w:val="24"/>
          <w:szCs w:val="24"/>
        </w:rPr>
        <w:t>) занимает до 70 % площади района. Его слагают три массива, входящие в состав крупного Каа-Хемского плутона: на севере – Тапсинский, на западе – Буренский, в центральной части ина востоке – Копто-Байсютский. Массивы сложены разнообразными по составу породами от гранитов до габбро, прорванными многочисленными дайками плагиогранитов, диоритовых порфиритов.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Большинство известных рудопроявлений и месторождение Тардан приурочены к экзо- и эндоконтакту Копто-Байсютского массива. Контакты его извилистые с большим количеством выступов и заливов. На контакте массива с отложениями туматтайгинской и вадибалинской свит, часто образуются скарны, в том числе золотосодержащие. Массив с севера и северо-востока ограничен Каа-Хемским Южным разломом. На западе прорывает вулканогенно-осадочную толщу рифей-нижнекембрийского возраста. На юге и востоке уходит за пределы лицензионной площади. В теле массива отмечаются многочисленные останцы кровли, слагаемые эффузивамитумматтайгинской и известняками вадибалинской свит. Характерно, что часто простирание контактов интрузии практически полностью совпадает с простиранием вмещающих пород в экзоконтакте массива и прогибах кровли (Тверянкин, 1965ф). Падение контактов крутое, близкое к вертикальному. В плане массив вытянут в северо-западном направлении. Строение массива грубо зональное: центральная его часть сложена плагиогранитами, краевые – кварцевыми диоритами, диоритами и габбро-диоритами (Кильчичаков, 1980ф).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Буренский массив заходит на площадь проводимых работ лишь своей восточной краевой частью. Массив имеет почти изометричную форму. На севере и востоке он прорывает вулканогенную толщу туматтайгинской свиты, в восточной части имеет с последней тектонические контакты. Буренский массив представлин различными породами от гранодиоритов до пироксенитов.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Контактовые изменения проявлены в виде ороговикования, скарнирования, мраморизации.Ореол контактовых изменений достигает 200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м (Вамбольдт, 2008).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тектоническом отношении район расположен в восточном окончании Алтае-Саянской складчатой области. Строение участка определяется сочленением салаирской Ондум–Буренской зоны складчатости с зоной Каа-Хемского глубинного разлома, что обусловило сложное блоковое строение территории и наличие многочисленных разрывных нарушений.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Каа-Хемская зона глубинных разломов представляет собой широкую (15–20 км) зону смятия, осложнённую субпараллельными разрывами. С севера зону ограничивает Каа-Хемский Северный разлом, а с юга Каа-Хемский Южный, которые на местности выражаются серией разрывов, зонами окварцевания хлоритизированных и эпидотизированных трещиноватых и рассланцованных пород. Амплитуда вертикального смещения по ним достигает нескольких киллометров (Кальная, 2002ф).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 xml:space="preserve">Крупнейшим разрывным нарушением района является Каа-Хемский северный субширотный разлом, представляющий собой серию сближенных тектонических нарушений с многочисленными ответвлениями. Он разделяет две структурно-фациальные зоны. В общей структуре региона разлом протягивается на 150 км. По своей морфологии это вертикально падающий сброс, распадающийся на несколько составляющих (Кальная, 2002ф).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Ещё одним крупным тектоническим нарушением является Байсютский разлом широтного простирания. На отрезке р. Бай-Сют – урочище Кара-Суг по нему проходит контакт древних вулканогенно-осадочных образований с более молодыми силурийскими красноцветными осадочными породами. По морфологии разлом является вертикальным сбросом с амплитудой до 1200 м. (Тверянкин, 1965ф). Вдоль разлома гранодиориты таннуольского комплекса катаклазированы, эффузивы передроблены, окварцованы, гематитизированы, известняки брекчированы в полосе шириной до 200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м.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Остальные тектонические нарушения являются более мелкими. По пространственной ориентировке они группируется в три системы: разломы северо-западного, разломы северо-восточного простирания и субширотные разломы.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 xml:space="preserve">К разломам северо-западного простирания приурочено большинство выявленных проявлений золота, меди, полиметаллов. Наиболее крупным из тектонических нарушений северо-западного простирания является Соруглуг-Хемский разлом.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Западнее, параллельно Соруглуг-Хемскому разлому по отложениям туматтайгинской свиты проходит Кызылторгский разлом. Прослежен на 13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км в виде чёткого шва. В узлах сопряжения этого разлома с нарушениями субширотного простирания, сопровождается значительным окварцеванием, обохренностью, гематитизацией и пиритизацией (рудопроявление Кызыл-Торг). Амплитуда смещения по разлому достигает 800-900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м. По отношению к субширотным нарушениям этот разлом является более молодым, смещая или ограничивая последние.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Тарданский разлом прослежен от левобережья р. Бай-Сют до проявления Правобережное, и распологается между Соруглуг-Хемским разломом и Кызылторгским. На значительной части своего протяжения он является тектоническим контактом отложений туматтайгинской и вадибалинской свит.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В субширотном направлении, кроме Байсютского, картируются ещё два параллельных сближенных разлома, берущих своё началоот верховий ручья Кызыл-Торг (левого верхнего притока р. Бурен) в отложениях туматтайгинской свиты. С запада разломы берут началов известнякахвадибалинской свиты, после чегопрослеживаются далее на восток по интрузивным образованиям Копто-Бай-Сютского массива.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Полезные ископаемые района представлены проявлениями и месторождениями рудного и россыпного золота, меди, свинца и цинка. Основным полезным ископаемым является золото. Серебро рассматривается, исключительно как попутное полезное ископаемое.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 xml:space="preserve">Среди </w:t>
      </w:r>
      <w:r>
        <w:rPr>
          <w:i/>
          <w:sz w:val="24"/>
          <w:szCs w:val="24"/>
        </w:rPr>
        <w:t>золоторудных</w:t>
      </w:r>
      <w:r>
        <w:rPr>
          <w:sz w:val="24"/>
          <w:szCs w:val="24"/>
        </w:rPr>
        <w:t xml:space="preserve"> объектов на территории Тарданского рудного узла находятся: месторождение Тардан, рудопроявления Копто, Барсучье, Соруглуг-Хем, Правобережное, Тардан-2. Наиболее крупным и изученным на данный момент является месторождение Тардан.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highlight w:val="yellow"/>
        </w:rPr>
        <w:t>Глава 2</w:t>
      </w:r>
      <w:r>
        <w:rPr>
          <w:rFonts w:cs="Times New Roman" w:ascii="Times New Roman" w:hAnsi="Times New Roman"/>
          <w:sz w:val="24"/>
          <w:szCs w:val="24"/>
        </w:rPr>
        <w:t xml:space="preserve">. ГЕОЛОГИЧЕСКОЕ СТРОЕНИЕ </w:t>
      </w:r>
      <w:r>
        <w:rPr>
          <w:rFonts w:cs="Times New Roman" w:ascii="Times New Roman" w:hAnsi="Times New Roman"/>
          <w:sz w:val="24"/>
          <w:szCs w:val="24"/>
          <w:highlight w:val="yellow"/>
        </w:rPr>
        <w:t>МЕСТОРОЖДЕНИЯ КОПТО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>Месторождение Копто располагается в юго-восточной части Тарданского рудного узла (</w:t>
      </w:r>
      <w:r>
        <w:rPr>
          <w:sz w:val="24"/>
          <w:szCs w:val="24"/>
          <w:highlight w:val="yellow"/>
        </w:rPr>
        <w:t>рис. 2.1</w:t>
      </w:r>
      <w:r>
        <w:rPr>
          <w:sz w:val="24"/>
          <w:szCs w:val="24"/>
        </w:rPr>
        <w:t>). Район месторождения сложен гранодиоритами и плагиогранитами таннуольского комплекса, кислыми эффузивами туматтайгинской и карбонатными породами вадибалинской свит кембрийского возраста. Породы повсеместно метасоматически изменены. Имеются признаки скарнирования карбонатных пород. Контакты между эффузивами, гранитоидами и карбонатными породами ориентированы в северо-западном направлении. Наблюдаются блоки интенсивно обохренных пород. Предшественниками отмечается присутствие в окисленных породах малахита. Геохимические поиски по вторичным ореолам рассеяния, которые сопровождали геологическую съемку масштаба 1:50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000 установили на участке обширные ореолы меди, серебра и цинка. На восточной окраине участка установлен шлиховой ореол рассеяния золота. Геохимические поиски масштаба 1:10 000, проводимые в 2010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году подтвердили наличие аномалий и уточнили их границы. Площадь участка составила 2,9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км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ind w:hanging="0"/>
        <w:jc w:val="center"/>
        <w:rPr/>
      </w:pPr>
      <w:r>
        <w:rPr/>
        <w:drawing>
          <wp:inline distT="0" distB="0" distL="19050" distR="0">
            <wp:extent cx="4533900" cy="5422265"/>
            <wp:effectExtent l="0" t="0" r="0" b="0"/>
            <wp:docPr id="78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" descr="ри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ind w:hanging="0"/>
        <w:jc w:val="center"/>
        <w:rPr/>
      </w:pPr>
      <w:r>
        <w:rPr/>
      </w:r>
    </w:p>
    <w:p>
      <w:pPr>
        <w:pStyle w:val="Style21"/>
        <w:jc w:val="center"/>
        <w:rPr>
          <w:sz w:val="20"/>
        </w:rPr>
      </w:pPr>
      <w:r>
        <w:rPr>
          <w:sz w:val="20"/>
        </w:rPr>
        <w:t>Рис. 2.1.</w:t>
      </w:r>
      <w:r>
        <w:rPr>
          <w:b/>
          <w:sz w:val="20"/>
        </w:rPr>
        <w:t xml:space="preserve"> </w:t>
      </w:r>
      <w:r>
        <w:rPr>
          <w:sz w:val="20"/>
        </w:rPr>
        <w:t>Геологическая карта месторождения Копто по данным (Кильчичаков и др., 1967).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NewRomanPS-ItalicMT"/>
          <w:iCs/>
          <w:sz w:val="20"/>
          <w:szCs w:val="20"/>
        </w:rPr>
      </w:pPr>
      <w:r>
        <w:rPr>
          <w:rFonts w:eastAsia="TimesNewRomanPS-ItalicMT" w:ascii="Times New Roman" w:hAnsi="Times New Roman"/>
          <w:iCs/>
          <w:sz w:val="20"/>
          <w:szCs w:val="20"/>
        </w:rPr>
        <w:t xml:space="preserve">1 – </w:t>
      </w:r>
      <w:r>
        <w:rPr>
          <w:rFonts w:ascii="Times New Roman" w:hAnsi="Times New Roman"/>
          <w:sz w:val="20"/>
          <w:szCs w:val="20"/>
        </w:rPr>
        <w:t>осадочно-вулканогенные породы туматтайгинcкой cвиты (R − Є</w:t>
      </w:r>
      <w:r>
        <w:rPr>
          <w:rFonts w:ascii="Times New Roman" w:hAnsi="Times New Roman"/>
          <w:sz w:val="20"/>
          <w:szCs w:val="20"/>
          <w:vertAlign w:val="subscript"/>
        </w:rPr>
        <w:t>1</w:t>
      </w:r>
      <w:r>
        <w:rPr>
          <w:rFonts w:ascii="Times New Roman" w:hAnsi="Times New Roman"/>
          <w:i/>
          <w:sz w:val="20"/>
          <w:szCs w:val="20"/>
        </w:rPr>
        <w:t>t</w:t>
      </w:r>
      <w:r>
        <w:rPr>
          <w:rFonts w:ascii="Times New Roman" w:hAnsi="Times New Roman"/>
          <w:i/>
          <w:sz w:val="20"/>
          <w:szCs w:val="20"/>
          <w:lang w:val="en-US"/>
        </w:rPr>
        <w:t>m</w:t>
      </w:r>
      <w:r>
        <w:rPr>
          <w:rFonts w:ascii="Times New Roman" w:hAnsi="Times New Roman"/>
          <w:sz w:val="20"/>
          <w:szCs w:val="20"/>
        </w:rPr>
        <w:t xml:space="preserve">): кварцевые порфиры и их туфами с прослоями доломитов; </w:t>
      </w:r>
      <w:r>
        <w:rPr>
          <w:rFonts w:eastAsia="TimesNewRomanPS-ItalicMT" w:ascii="Times New Roman" w:hAnsi="Times New Roman"/>
          <w:iCs/>
          <w:sz w:val="20"/>
          <w:szCs w:val="20"/>
        </w:rPr>
        <w:t xml:space="preserve">2–3 – раннетаннуольский габбро-диорит-плагиогранитный комплекс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  <w:lang w:val="en-US"/>
        </w:rPr>
        <w:t>O</w:t>
      </w:r>
      <w:r>
        <w:rPr>
          <w:rFonts w:ascii="Times New Roman" w:hAnsi="Times New Roman"/>
          <w:sz w:val="20"/>
          <w:szCs w:val="20"/>
          <w:vertAlign w:val="subscript"/>
        </w:rPr>
        <w:t>1</w:t>
      </w:r>
      <w:r>
        <w:rPr>
          <w:rFonts w:ascii="Times New Roman" w:hAnsi="Times New Roman"/>
          <w:i/>
          <w:sz w:val="20"/>
          <w:szCs w:val="20"/>
          <w:lang w:val="en-US"/>
        </w:rPr>
        <w:t>tn</w:t>
      </w:r>
      <w:r>
        <w:rPr>
          <w:rFonts w:eastAsia="TimesNewRomanPS-ItalicMT" w:ascii="Times New Roman" w:hAnsi="Times New Roman"/>
          <w:iCs/>
          <w:sz w:val="20"/>
          <w:szCs w:val="20"/>
        </w:rPr>
        <w:t xml:space="preserve">): 2 – кварцевые диориты; 3 – </w:t>
      </w:r>
      <w:r>
        <w:rPr>
          <w:rFonts w:eastAsia="ArialNarrow" w:ascii="Times New Roman" w:hAnsi="Times New Roman"/>
          <w:sz w:val="20"/>
          <w:szCs w:val="20"/>
        </w:rPr>
        <w:t xml:space="preserve">дайки </w:t>
      </w:r>
      <w:r>
        <w:rPr>
          <w:rFonts w:ascii="Times New Roman" w:hAnsi="Times New Roman"/>
          <w:sz w:val="20"/>
          <w:szCs w:val="20"/>
        </w:rPr>
        <w:t xml:space="preserve">кварцевых порфиров; </w:t>
      </w:r>
      <w:r>
        <w:rPr>
          <w:rFonts w:eastAsia="TimesNewRomanPS-ItalicMT" w:ascii="Times New Roman" w:hAnsi="Times New Roman"/>
          <w:iCs/>
          <w:sz w:val="20"/>
          <w:szCs w:val="20"/>
        </w:rPr>
        <w:t xml:space="preserve">4 – скарны; 5 – </w:t>
      </w:r>
      <w:r>
        <w:rPr>
          <w:rFonts w:ascii="Times New Roman" w:hAnsi="Times New Roman"/>
          <w:sz w:val="20"/>
          <w:szCs w:val="20"/>
        </w:rPr>
        <w:t>метасоматиты березит-лиственитовой формации</w:t>
      </w:r>
      <w:r>
        <w:rPr>
          <w:rFonts w:eastAsia="TimesNewRomanPS-ItalicMT" w:ascii="Times New Roman" w:hAnsi="Times New Roman"/>
          <w:iCs/>
          <w:sz w:val="20"/>
          <w:szCs w:val="20"/>
        </w:rPr>
        <w:t>; 6 – рудные тела и их номера; 7 – зоны дробления; 8 – геологические границы.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  <w:t xml:space="preserve">Золото-сульфидно-кварцевое оруденение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штокверкового типа на месторождении </w:t>
      </w:r>
      <w:r>
        <w:rPr>
          <w:rFonts w:cs="Times New Roman" w:ascii="Times New Roman" w:hAnsi="Times New Roman"/>
          <w:sz w:val="24"/>
          <w:szCs w:val="24"/>
        </w:rPr>
        <w:t>локализовано в зоне дробления и интенсивной трещиноватости в скарнах, залегающих в виде линзовидных залежей среди диоритов Копто-Байсютского габбpо-диоpит-плагиогpанитного массива раннетаннуольского комплекса (O</w:t>
      </w:r>
      <w:r>
        <w:rPr>
          <w:rFonts w:cs="Times New Roman" w:ascii="Times New Roman" w:hAnsi="Times New Roman"/>
          <w:sz w:val="24"/>
          <w:szCs w:val="24"/>
          <w:vertAlign w:val="subscript"/>
        </w:rPr>
        <w:t>1</w:t>
      </w:r>
      <w:r>
        <w:rPr>
          <w:rFonts w:cs="Times New Roman" w:ascii="Times New Roman" w:hAnsi="Times New Roman"/>
          <w:i/>
          <w:sz w:val="24"/>
          <w:szCs w:val="24"/>
        </w:rPr>
        <w:t>tn</w:t>
      </w:r>
      <w:r>
        <w:rPr>
          <w:rFonts w:cs="Times New Roman" w:ascii="Times New Roman" w:hAnsi="Times New Roman"/>
          <w:sz w:val="24"/>
          <w:szCs w:val="24"/>
        </w:rPr>
        <w:t>) и вулканогенно-каpбонатных пород туматтайгинcкой свиты (R−Є</w:t>
      </w:r>
      <w:r>
        <w:rPr>
          <w:rFonts w:cs="Times New Roman" w:ascii="Times New Roman" w:hAnsi="Times New Roman"/>
          <w:sz w:val="24"/>
          <w:szCs w:val="24"/>
          <w:vertAlign w:val="subscript"/>
        </w:rPr>
        <w:t>1</w:t>
      </w:r>
      <w:r>
        <w:rPr>
          <w:rFonts w:cs="Times New Roman" w:ascii="Times New Roman" w:hAnsi="Times New Roman"/>
          <w:i/>
          <w:sz w:val="24"/>
          <w:szCs w:val="24"/>
        </w:rPr>
        <w:t>t</w:t>
      </w:r>
      <w:r>
        <w:rPr>
          <w:rFonts w:cs="Times New Roman" w:ascii="Times New Roman" w:hAnsi="Times New Roman"/>
          <w:i/>
          <w:sz w:val="24"/>
          <w:szCs w:val="24"/>
          <w:lang w:val="en-US"/>
        </w:rPr>
        <w:t>m</w:t>
      </w:r>
      <w:r>
        <w:rPr>
          <w:rFonts w:cs="Times New Roman" w:ascii="Times New Roman" w:hAnsi="Times New Roman"/>
          <w:sz w:val="24"/>
          <w:szCs w:val="24"/>
        </w:rPr>
        <w:t>). Протяжённость скарновой залежи составляет 800</w:t>
      </w:r>
      <w:r>
        <w:rPr>
          <w:rFonts w:eastAsia="ArialNarrow" w:cs="Times New Roman" w:ascii="Times New Roman" w:hAnsi="Times New Roman"/>
          <w:sz w:val="24"/>
          <w:szCs w:val="24"/>
        </w:rPr>
        <w:t>÷</w:t>
      </w:r>
      <w:r>
        <w:rPr>
          <w:rFonts w:cs="Times New Roman" w:ascii="Times New Roman" w:hAnsi="Times New Roman"/>
          <w:sz w:val="24"/>
          <w:szCs w:val="24"/>
        </w:rPr>
        <w:t>850 м, мощность – 100</w:t>
      </w:r>
      <w:r>
        <w:rPr>
          <w:rFonts w:eastAsia="ArialNarrow" w:cs="Times New Roman" w:ascii="Times New Roman" w:hAnsi="Times New Roman"/>
          <w:sz w:val="24"/>
          <w:szCs w:val="24"/>
        </w:rPr>
        <w:t>÷</w:t>
      </w:r>
      <w:r>
        <w:rPr>
          <w:rFonts w:cs="Times New Roman" w:ascii="Times New Roman" w:hAnsi="Times New Roman"/>
          <w:sz w:val="24"/>
          <w:szCs w:val="24"/>
        </w:rPr>
        <w:t>150 м. Простирание её северо-западное (по аз. 330–340</w:t>
      </w:r>
      <w:r>
        <w:rPr>
          <w:rFonts w:cs="Times New Roman" w:ascii="Times New Roman" w:hAnsi="Times New Roman"/>
          <w:sz w:val="24"/>
          <w:szCs w:val="24"/>
          <w:vertAlign w:val="superscript"/>
        </w:rPr>
        <w:t>º</w:t>
      </w:r>
      <w:r>
        <w:rPr>
          <w:rFonts w:cs="Times New Roman" w:ascii="Times New Roman" w:hAnsi="Times New Roman"/>
          <w:sz w:val="24"/>
          <w:szCs w:val="24"/>
        </w:rPr>
        <w:t>), падение, предположительно, крутое на северо-восток. Внутреннее строение залежи весьма сложное, обусловленное различной степенью контактово-метасоматических и гидротермальных изменений, наличием линзообразных даек кварцевых порфиров раннетаннуольского комплекса (O</w:t>
      </w:r>
      <w:r>
        <w:rPr>
          <w:rFonts w:cs="Times New Roman" w:ascii="Times New Roman" w:hAnsi="Times New Roman"/>
          <w:sz w:val="24"/>
          <w:szCs w:val="24"/>
          <w:vertAlign w:val="subscript"/>
        </w:rPr>
        <w:t>1</w:t>
      </w:r>
      <w:r>
        <w:rPr>
          <w:rFonts w:cs="Times New Roman" w:ascii="Times New Roman" w:hAnsi="Times New Roman"/>
          <w:i/>
          <w:sz w:val="24"/>
          <w:szCs w:val="24"/>
        </w:rPr>
        <w:t>tn</w:t>
      </w:r>
      <w:r>
        <w:rPr>
          <w:rFonts w:cs="Times New Roman" w:ascii="Times New Roman" w:hAnsi="Times New Roman"/>
          <w:sz w:val="24"/>
          <w:szCs w:val="24"/>
        </w:rPr>
        <w:t>) и интенсивным тектоническим воздействием на породы.</w:t>
      </w:r>
      <w:r>
        <w:rPr>
          <w:rFonts w:eastAsia="ArialNarrow" w:cs="Times New Roman" w:ascii="Times New Roman" w:hAnsi="Times New Roman"/>
          <w:sz w:val="24"/>
          <w:szCs w:val="24"/>
        </w:rPr>
        <w:t xml:space="preserve"> Дайки </w:t>
      </w:r>
      <w:r>
        <w:rPr>
          <w:rFonts w:cs="Times New Roman" w:ascii="Times New Roman" w:hAnsi="Times New Roman"/>
          <w:sz w:val="24"/>
          <w:szCs w:val="24"/>
        </w:rPr>
        <w:t xml:space="preserve">кварцевых порфиров внедрялись после образования скарнов, в них отмечаются </w:t>
      </w:r>
      <w:r>
        <w:rPr>
          <w:rFonts w:eastAsia="ArialNarrow" w:cs="Times New Roman" w:ascii="Times New Roman" w:hAnsi="Times New Roman"/>
          <w:sz w:val="24"/>
          <w:szCs w:val="24"/>
        </w:rPr>
        <w:t>н</w:t>
      </w:r>
      <w:r>
        <w:rPr>
          <w:rFonts w:cs="Times New Roman" w:ascii="Times New Roman" w:hAnsi="Times New Roman"/>
          <w:sz w:val="24"/>
          <w:szCs w:val="24"/>
        </w:rPr>
        <w:t>аложенные гидротермальные процессы, представленные хлоритизацией, эпидотизацией, карбонатизацией, березитизацией (лиственитизацией) и окварцеванием с золото-сульфидной минерализацией (</w:t>
      </w:r>
      <w:r>
        <w:rPr>
          <w:rFonts w:cs="Times New Roman" w:ascii="Times New Roman" w:hAnsi="Times New Roman"/>
          <w:sz w:val="24"/>
          <w:szCs w:val="24"/>
          <w:highlight w:val="yellow"/>
        </w:rPr>
        <w:t>Кильчичаков, 1977ф</w:t>
      </w:r>
      <w:r>
        <w:rPr>
          <w:rFonts w:cs="Times New Roman" w:ascii="Times New Roman" w:hAnsi="Times New Roman"/>
          <w:sz w:val="24"/>
          <w:szCs w:val="24"/>
        </w:rPr>
        <w:t xml:space="preserve">). </w:t>
      </w:r>
    </w:p>
    <w:p>
      <w:pPr>
        <w:pStyle w:val="Style21"/>
        <w:rPr>
          <w:sz w:val="24"/>
          <w:szCs w:val="24"/>
        </w:rPr>
      </w:pPr>
      <w:r>
        <w:rPr>
          <w:rFonts w:eastAsia="ArialNarrow"/>
          <w:sz w:val="24"/>
          <w:szCs w:val="24"/>
        </w:rPr>
        <w:t>По составу скарны гранатовые, пироксеновые и пироксен-гранатовые с гематитом и магнетитом. Скарны гидротермально изменены, в основном, хлоритизированы, эпидотизированы, содержат прожилки кварца и вкрапленность и гнёзда магнетита, гематита, пирита и халькопирита. Наложенная золото-</w:t>
      </w:r>
      <w:r>
        <w:rPr>
          <w:sz w:val="24"/>
          <w:szCs w:val="24"/>
        </w:rPr>
        <w:t xml:space="preserve">сульфидно-кварцевая минерализация в скарнах образует </w:t>
      </w:r>
      <w:r>
        <w:rPr>
          <w:color w:val="000000"/>
          <w:sz w:val="24"/>
          <w:szCs w:val="24"/>
        </w:rPr>
        <w:t xml:space="preserve">прожилково-штокверковые тела </w:t>
      </w:r>
      <w:r>
        <w:rPr>
          <w:sz w:val="24"/>
          <w:szCs w:val="24"/>
        </w:rPr>
        <w:t xml:space="preserve">с содержаниями сульфидов от 3 до 10 %, в среднем – 5 %. </w:t>
      </w:r>
      <w:r>
        <w:rPr>
          <w:rFonts w:eastAsia="ArialNarrow"/>
          <w:sz w:val="24"/>
          <w:szCs w:val="24"/>
        </w:rPr>
        <w:t xml:space="preserve">В скарновой зоне выявлено 5 рудных тел протяженностью от 30 до 100 м, мощностью от 1.0 до 11.0 м, со средними содержаниями Au от 4.7 до 12.9 г/т. Распределение Au в рудах неравномерное. Наиболее крупное тело №1 представляет собой </w:t>
      </w:r>
      <w:r>
        <w:rPr>
          <w:sz w:val="24"/>
          <w:szCs w:val="24"/>
        </w:rPr>
        <w:t xml:space="preserve">линзовидный штокверк интенсивного окварцевания, имеющий следующие параметры: длина по простиранию 68 м, по падению – 40 м, средняя </w:t>
      </w:r>
      <w:r>
        <w:rPr>
          <w:rFonts w:eastAsia="ArialNarrow"/>
          <w:sz w:val="24"/>
          <w:szCs w:val="24"/>
        </w:rPr>
        <w:t xml:space="preserve">мощность </w:t>
      </w:r>
      <w:r>
        <w:rPr>
          <w:sz w:val="24"/>
          <w:szCs w:val="24"/>
        </w:rPr>
        <w:t>– 11</w:t>
      </w:r>
      <w:r>
        <w:rPr>
          <w:rFonts w:eastAsia="ArialNarrow"/>
          <w:sz w:val="24"/>
          <w:szCs w:val="24"/>
        </w:rPr>
        <w:t xml:space="preserve"> м. Среднее содержание </w:t>
      </w:r>
      <w:r>
        <w:rPr>
          <w:rFonts w:eastAsia="ArialNarrow"/>
          <w:sz w:val="24"/>
          <w:szCs w:val="24"/>
          <w:lang w:val="en-US"/>
        </w:rPr>
        <w:t>Au</w:t>
      </w:r>
      <w:r>
        <w:rPr>
          <w:rFonts w:eastAsia="ArialNarrow"/>
          <w:sz w:val="24"/>
          <w:szCs w:val="24"/>
        </w:rPr>
        <w:t xml:space="preserve"> составляет </w:t>
      </w:r>
      <w:r>
        <w:rPr>
          <w:sz w:val="24"/>
          <w:szCs w:val="24"/>
        </w:rPr>
        <w:t>11.3 г/т</w:t>
      </w:r>
      <w:r>
        <w:rPr>
          <w:rFonts w:eastAsia="ArialNarrow"/>
          <w:sz w:val="24"/>
          <w:szCs w:val="24"/>
        </w:rPr>
        <w:t xml:space="preserve"> (отмечаются единичные пробы до </w:t>
      </w:r>
      <w:r>
        <w:rPr>
          <w:sz w:val="24"/>
          <w:szCs w:val="24"/>
        </w:rPr>
        <w:t>616 г/т),</w:t>
      </w:r>
      <w:r>
        <w:rPr>
          <w:rFonts w:eastAsia="ArialNarrow"/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Ag</w:t>
      </w:r>
      <w:r>
        <w:rPr>
          <w:sz w:val="24"/>
          <w:szCs w:val="24"/>
        </w:rPr>
        <w:t xml:space="preserve"> – 10–40 г/т, </w:t>
      </w:r>
      <w:r>
        <w:rPr>
          <w:sz w:val="24"/>
          <w:szCs w:val="24"/>
          <w:lang w:val="en-US"/>
        </w:rPr>
        <w:t>Cu</w:t>
      </w:r>
      <w:r>
        <w:rPr>
          <w:sz w:val="24"/>
          <w:szCs w:val="24"/>
        </w:rPr>
        <w:t xml:space="preserve"> –</w:t>
      </w:r>
      <w:r>
        <w:rPr>
          <w:rFonts w:eastAsia="ArialNarrow"/>
          <w:sz w:val="24"/>
          <w:szCs w:val="24"/>
        </w:rPr>
        <w:t xml:space="preserve"> </w:t>
      </w:r>
      <w:r>
        <w:rPr>
          <w:sz w:val="24"/>
          <w:szCs w:val="24"/>
        </w:rPr>
        <w:t xml:space="preserve">1.6 %.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 xml:space="preserve">Слагающие скарновую зону породы интенсивно лимонитизированы. Гидроксиды железа развиты по магнетиту (слагающему как мономинеральные, так и кварц-магнетитовые прожилки и линзы), пириту и халькопириту. В зоне широко представлены сульфидно-кварцевые прожилки. Они ориентированы субпараллельно друг другу. Кварц в прожилках мелкозернистый, с характерным жирным блеском. </w:t>
      </w:r>
    </w:p>
    <w:p>
      <w:pPr>
        <w:pStyle w:val="Style21"/>
        <w:rPr>
          <w:sz w:val="24"/>
          <w:szCs w:val="24"/>
        </w:rPr>
      </w:pPr>
      <w:r>
        <w:rPr>
          <w:sz w:val="24"/>
          <w:szCs w:val="24"/>
        </w:rPr>
        <w:t xml:space="preserve">Геолого-минералогическими (изучение </w:t>
      </w:r>
      <w:r>
        <w:rPr>
          <w:rFonts w:eastAsia="TimesNewRomanPSMT"/>
          <w:color w:val="231F20"/>
          <w:sz w:val="24"/>
          <w:szCs w:val="24"/>
        </w:rPr>
        <w:t>взаимоотношений жил и прожилков минеральных агрегатов, цементация обломков</w:t>
      </w:r>
      <w:r>
        <w:rPr>
          <w:sz w:val="24"/>
          <w:szCs w:val="24"/>
        </w:rPr>
        <w:t xml:space="preserve"> </w:t>
      </w:r>
      <w:r>
        <w:rPr>
          <w:rFonts w:eastAsia="TimesNewRomanPSMT"/>
          <w:color w:val="231F20"/>
          <w:sz w:val="24"/>
          <w:szCs w:val="24"/>
        </w:rPr>
        <w:t>ранних минералов поздними и т.д.)</w:t>
      </w:r>
      <w:r>
        <w:rPr>
          <w:sz w:val="24"/>
          <w:szCs w:val="24"/>
        </w:rPr>
        <w:t xml:space="preserve"> исследованиями установлено, что благороднометалльная минерализация на месторождении Копто связана с наложенной на гpанатовые, пиpоксеновые и гpанат-пиpоксеновые скарны и апоскарновые метасоматиты гидротермальной деятельностью. Золоторудная минерализация парагенетически связана с дайками кварцевых порфиров раннетаннуольского комплекса (O</w:t>
      </w:r>
      <w:r>
        <w:rPr>
          <w:sz w:val="24"/>
          <w:szCs w:val="24"/>
          <w:vertAlign w:val="subscript"/>
        </w:rPr>
        <w:t>1</w:t>
      </w:r>
      <w:r>
        <w:rPr>
          <w:i/>
          <w:sz w:val="24"/>
          <w:szCs w:val="24"/>
        </w:rPr>
        <w:t>tn</w:t>
      </w:r>
      <w:r>
        <w:rPr>
          <w:sz w:val="24"/>
          <w:szCs w:val="24"/>
        </w:rPr>
        <w:t>) и сопряжёнными с ними метасоматитами березит-лиственитовой формации.</w:t>
      </w:r>
    </w:p>
    <w:p>
      <w:pPr>
        <w:pStyle w:val="Style21"/>
        <w:ind w:hanging="0"/>
        <w:rPr/>
      </w:pPr>
      <w:bookmarkStart w:id="4" w:name="_Toc321563833"/>
      <w:bookmarkStart w:id="5" w:name="_Toc321563833"/>
      <w:bookmarkEnd w:id="5"/>
      <w:r>
        <w:rPr/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Глава 3. МИНЕРАЛЬНЫЙ СОСТАВ </w:t>
      </w:r>
      <w:r>
        <w:rPr>
          <w:rFonts w:cs="Times New Roman" w:ascii="Times New Roman" w:hAnsi="Times New Roman"/>
          <w:sz w:val="24"/>
          <w:szCs w:val="24"/>
          <w:highlight w:val="yellow"/>
        </w:rPr>
        <w:t>ВМЕЩАЮЩИХ ПОРОД И РУД</w:t>
      </w:r>
      <w:r>
        <w:rPr>
          <w:rFonts w:cs="Times New Roman" w:ascii="Times New Roman" w:hAnsi="Times New Roman"/>
          <w:sz w:val="24"/>
          <w:szCs w:val="24"/>
        </w:rPr>
        <w:t xml:space="preserve"> МЕСТОРОЖДЕНИЯ КОПТО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3.1. ВМЕЩАЮЩИЕ ПОРОДЫ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Образец ХП-8 – гранатовый скарн. </w:t>
      </w:r>
      <w:r>
        <w:rPr>
          <w:rFonts w:ascii="Times New Roman" w:hAnsi="Times New Roman"/>
          <w:sz w:val="24"/>
          <w:szCs w:val="24"/>
        </w:rPr>
        <w:t>Порода бурого цвета. Текстура неяснополосчатая, структура скрытозернистая. Порода состоит из граната (предположительно, андрадит) и кальцита. Гранат слагает практически весь объем породы (до 95 %). Минерал красновато-буровато-коричневого цвета. Пронизан прожилками кальцита. Пироксен обнаружен в виде единичных ксеноморфных зерен размером до 2*2,5 мм.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Style w:val="af0"/>
        <w:tblW w:w="8188" w:type="dxa"/>
        <w:jc w:val="left"/>
        <w:tblInd w:w="739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85"/>
        <w:gridCol w:w="3402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2540">
                  <wp:extent cx="2816860" cy="2133600"/>
                  <wp:effectExtent l="0" t="0" r="0" b="0"/>
                  <wp:docPr id="79" name="Рисунок 20" descr="Безым1111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20" descr="Безым1111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8890">
                  <wp:extent cx="1972310" cy="2133600"/>
                  <wp:effectExtent l="0" t="0" r="0" b="0"/>
                  <wp:docPr id="80" name="Рисунок 19" descr="раб4очий  стол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9" descr="раб4очий  стол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8187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5985" w:leader="none"/>
              </w:tabs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tabs>
                <w:tab w:val="left" w:pos="5985" w:leader="none"/>
              </w:tabs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3.1. Гранатовый скарн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1031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407"/>
        <w:gridCol w:w="5105"/>
        <w:gridCol w:w="802"/>
      </w:tblGrid>
      <w:tr>
        <w:trPr>
          <w:trHeight w:val="3543" w:hRule="atLeast"/>
        </w:trPr>
        <w:tc>
          <w:tcPr>
            <w:tcW w:w="44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0">
                  <wp:extent cx="2497455" cy="2201545"/>
                  <wp:effectExtent l="0" t="0" r="0" b="0"/>
                  <wp:docPr id="81" name="Рисунок 16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16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  <w:gridSpan w:val="2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8255">
                  <wp:extent cx="2944495" cy="2172335"/>
                  <wp:effectExtent l="0" t="0" r="0" b="0"/>
                  <wp:docPr id="82" name="Рисунок 17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17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4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3.2. Зерна граната (</w:t>
            </w:r>
            <w:r>
              <w:rPr>
                <w:rFonts w:ascii="Times New Roman" w:hAnsi="Times New Roman"/>
                <w:lang w:val="en-US" w:eastAsia="ru-RU"/>
              </w:rPr>
              <w:t>Gr</w:t>
            </w:r>
            <w:r>
              <w:rPr>
                <w:rFonts w:ascii="Times New Roman" w:hAnsi="Times New Roman"/>
                <w:lang w:eastAsia="ru-RU"/>
              </w:rPr>
              <w:t>, андрадит).</w:t>
            </w:r>
          </w:p>
        </w:tc>
        <w:tc>
          <w:tcPr>
            <w:tcW w:w="5105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3.3. Зерно пироксена (</w:t>
            </w:r>
            <w:r>
              <w:rPr>
                <w:rFonts w:ascii="Times New Roman" w:hAnsi="Times New Roman"/>
                <w:lang w:val="en-US" w:eastAsia="ru-RU"/>
              </w:rPr>
              <w:t>Px</w:t>
            </w:r>
            <w:r>
              <w:rPr>
                <w:rFonts w:ascii="Times New Roman" w:hAnsi="Times New Roman"/>
                <w:lang w:eastAsia="ru-RU"/>
              </w:rPr>
              <w:t>).</w:t>
            </w:r>
          </w:p>
        </w:tc>
        <w:tc>
          <w:tcPr>
            <w:tcW w:w="802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Образец ХП-9 – пироксеновый скарн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Порода массивной текстуры, структура скрытозернистая. Минеральный состав: плагиоклаз, пироксен, калиевый полевой шпат, кварц, вторичные минералы представлены эпидотом и малахитом.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Кварц (</w:t>
      </w:r>
      <w:r>
        <w:rPr>
          <w:rFonts w:ascii="Times New Roman" w:hAnsi="Times New Roman"/>
          <w:i/>
          <w:sz w:val="24"/>
          <w:szCs w:val="24"/>
          <w:u w:val="single"/>
          <w:lang w:val="en-US"/>
        </w:rPr>
        <w:t>Q</w:t>
      </w:r>
      <w:r>
        <w:rPr>
          <w:rFonts w:ascii="Times New Roman" w:hAnsi="Times New Roman"/>
          <w:i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 xml:space="preserve"> образует зерна белого цвета округлой (оолитовой) формы, размеры зерен1,5*1,5 мм.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Пироксен (</w:t>
      </w:r>
      <w:r>
        <w:rPr>
          <w:rFonts w:ascii="Times New Roman" w:hAnsi="Times New Roman"/>
          <w:i/>
          <w:sz w:val="24"/>
          <w:szCs w:val="24"/>
          <w:u w:val="single"/>
          <w:lang w:val="en-US"/>
        </w:rPr>
        <w:t>P</w:t>
      </w:r>
      <w:r>
        <w:rPr>
          <w:rFonts w:ascii="Times New Roman" w:hAnsi="Times New Roman"/>
          <w:i/>
          <w:sz w:val="24"/>
          <w:szCs w:val="24"/>
          <w:u w:val="single"/>
        </w:rPr>
        <w:t>х)</w:t>
      </w:r>
      <w:r>
        <w:rPr>
          <w:rFonts w:ascii="Times New Roman" w:hAnsi="Times New Roman"/>
          <w:sz w:val="24"/>
          <w:szCs w:val="24"/>
        </w:rPr>
        <w:t xml:space="preserve"> – зерна оолитовой и вытянутой формы. Цвет оранжевый, видна характерная спайность. Размеры зерен пироксена 1,3х1 мм.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Плагиоклаз (</w:t>
      </w:r>
      <w:r>
        <w:rPr>
          <w:rFonts w:ascii="Times New Roman" w:hAnsi="Times New Roman"/>
          <w:i/>
          <w:sz w:val="24"/>
          <w:szCs w:val="24"/>
          <w:u w:val="single"/>
          <w:lang w:val="en-US"/>
        </w:rPr>
        <w:t>Pl</w:t>
      </w:r>
      <w:r>
        <w:rPr>
          <w:rFonts w:ascii="Times New Roman" w:hAnsi="Times New Roman"/>
          <w:i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</w:rPr>
        <w:t xml:space="preserve"> – форма зерен от оолитовой до линейно-вытянутой, реже ксеноморфная. Цвет сероватый. Имеются двойники при повороте столика микроскопа. Размеры зерен 0,6*0,3 мм. Плагиоклаз занимает 5 % от общей массы породы.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Эпидот</w:t>
      </w:r>
      <w:r>
        <w:rPr>
          <w:rFonts w:ascii="Times New Roman" w:hAnsi="Times New Roman"/>
          <w:sz w:val="24"/>
          <w:szCs w:val="24"/>
        </w:rPr>
        <w:t xml:space="preserve"> – зерна представлены в малом количестве. Форма зерен вытянутая. Цвет бордово-фиолетовый. Размер зерен 1,5*1 мм.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Малахит</w:t>
      </w:r>
      <w:r>
        <w:rPr>
          <w:rFonts w:ascii="Times New Roman" w:hAnsi="Times New Roman"/>
          <w:sz w:val="24"/>
          <w:szCs w:val="24"/>
        </w:rPr>
        <w:t xml:space="preserve"> – темно-зеленого цвета. Форма зерен вытянутая.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Style w:val="af0"/>
        <w:tblW w:w="8397" w:type="dxa"/>
        <w:jc w:val="left"/>
        <w:tblInd w:w="634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520"/>
        <w:gridCol w:w="3876"/>
      </w:tblGrid>
      <w:tr>
        <w:trPr/>
        <w:tc>
          <w:tcPr>
            <w:tcW w:w="45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0">
                  <wp:extent cx="2714625" cy="2169795"/>
                  <wp:effectExtent l="0" t="0" r="0" b="0"/>
                  <wp:docPr id="83" name="Изображение2" descr="IMG_20180524_12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Изображение2" descr="IMG_20180524_123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557" t="0" r="21183" b="10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1905">
                  <wp:extent cx="2303145" cy="2162175"/>
                  <wp:effectExtent l="0" t="0" r="0" b="0"/>
                  <wp:docPr id="84" name="Изображение3" descr="раб454очий  стол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Изображение3" descr="раб454очий  стол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8396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3.4. Пироксеновый скарн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58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657"/>
        <w:gridCol w:w="4926"/>
      </w:tblGrid>
      <w:tr>
        <w:trPr>
          <w:trHeight w:val="3531" w:hRule="atLeast"/>
        </w:trPr>
        <w:tc>
          <w:tcPr>
            <w:tcW w:w="465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8255">
                  <wp:extent cx="2696845" cy="2077085"/>
                  <wp:effectExtent l="0" t="0" r="0" b="0"/>
                  <wp:docPr id="85" name="Рисунок 18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18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0">
                  <wp:extent cx="2934970" cy="2077085"/>
                  <wp:effectExtent l="0" t="0" r="0" b="0"/>
                  <wp:docPr id="86" name="Изображение4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4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5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3.5. Прожилки малахита (</w:t>
            </w:r>
            <w:r>
              <w:rPr>
                <w:rFonts w:ascii="Times New Roman" w:hAnsi="Times New Roman"/>
                <w:lang w:val="en-US" w:eastAsia="ru-RU"/>
              </w:rPr>
              <w:t>Mlh</w:t>
            </w:r>
            <w:r>
              <w:rPr>
                <w:rFonts w:ascii="Times New Roman" w:hAnsi="Times New Roman"/>
                <w:lang w:eastAsia="ru-RU"/>
              </w:rPr>
              <w:t>)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</w:r>
          </w:p>
        </w:tc>
        <w:tc>
          <w:tcPr>
            <w:tcW w:w="4926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 3.6. Зерно плагиоклаза (</w:t>
            </w:r>
            <w:r>
              <w:rPr>
                <w:rFonts w:ascii="Times New Roman" w:hAnsi="Times New Roman"/>
                <w:lang w:val="en-US" w:eastAsia="ru-RU"/>
              </w:rPr>
              <w:t>Pl</w:t>
            </w:r>
            <w:r>
              <w:rPr>
                <w:rFonts w:ascii="Times New Roman" w:hAnsi="Times New Roman"/>
                <w:lang w:eastAsia="ru-RU"/>
              </w:rPr>
              <w:t>) (альбит)</w:t>
            </w:r>
          </w:p>
        </w:tc>
      </w:tr>
      <w:tr>
        <w:trPr>
          <w:trHeight w:val="3247" w:hRule="atLeast"/>
        </w:trPr>
        <w:tc>
          <w:tcPr>
            <w:tcW w:w="465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8255">
                  <wp:extent cx="2696845" cy="1829435"/>
                  <wp:effectExtent l="0" t="0" r="0" b="0"/>
                  <wp:docPr id="87" name="Изображение5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Изображение5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8255">
                  <wp:extent cx="2963545" cy="1848485"/>
                  <wp:effectExtent l="0" t="0" r="0" b="0"/>
                  <wp:docPr id="88" name="Рисунок 21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21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5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3.7. Зерна кварца (</w:t>
            </w:r>
            <w:r>
              <w:rPr>
                <w:rFonts w:ascii="Times New Roman" w:hAnsi="Times New Roman"/>
                <w:lang w:val="en-US" w:eastAsia="ru-RU"/>
              </w:rPr>
              <w:t>Q</w:t>
            </w:r>
            <w:r>
              <w:rPr>
                <w:rFonts w:ascii="Times New Roman" w:hAnsi="Times New Roman"/>
                <w:lang w:eastAsia="ru-RU"/>
              </w:rPr>
              <w:t>), плагиоклаза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</w:t>
            </w:r>
            <w:r>
              <w:rPr>
                <w:rFonts w:ascii="Times New Roman" w:hAnsi="Times New Roman"/>
                <w:lang w:val="en-US" w:eastAsia="ru-RU"/>
              </w:rPr>
              <w:t>Pl</w:t>
            </w:r>
            <w:r>
              <w:rPr>
                <w:rFonts w:ascii="Times New Roman" w:hAnsi="Times New Roman"/>
                <w:lang w:eastAsia="ru-RU"/>
              </w:rPr>
              <w:t>), пироксена (Рх)</w:t>
            </w:r>
          </w:p>
        </w:tc>
        <w:tc>
          <w:tcPr>
            <w:tcW w:w="49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3.8. Зерна малахита (</w:t>
            </w:r>
            <w:r>
              <w:rPr>
                <w:rFonts w:ascii="Times New Roman" w:hAnsi="Times New Roman"/>
                <w:lang w:val="en-US" w:eastAsia="ru-RU"/>
              </w:rPr>
              <w:t>Mlh</w:t>
            </w:r>
            <w:r>
              <w:rPr>
                <w:rFonts w:ascii="Times New Roman" w:hAnsi="Times New Roman"/>
                <w:lang w:eastAsia="ru-RU"/>
              </w:rPr>
              <w:t>), плагиоклаза (</w:t>
            </w:r>
            <w:r>
              <w:rPr>
                <w:rFonts w:ascii="Times New Roman" w:hAnsi="Times New Roman"/>
                <w:lang w:val="en-US" w:eastAsia="ru-RU"/>
              </w:rPr>
              <w:t>Pl</w:t>
            </w:r>
            <w:r>
              <w:rPr>
                <w:rFonts w:ascii="Times New Roman" w:hAnsi="Times New Roman"/>
                <w:lang w:eastAsia="ru-RU"/>
              </w:rPr>
              <w:t>), пироксена (Рх) и эпидота</w:t>
            </w:r>
          </w:p>
        </w:tc>
      </w:tr>
    </w:tbl>
    <w:p>
      <w:pPr>
        <w:pStyle w:val="Normal"/>
        <w:spacing w:lineRule="auto" w:line="360" w:before="0" w:after="0"/>
        <w:ind w:firstLine="680"/>
        <w:jc w:val="both"/>
        <w:rPr>
          <w:rFonts w:ascii="Times New Roman" w:hAnsi="Times New Roman"/>
          <w:b/>
          <w:b/>
          <w:i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</w:r>
    </w:p>
    <w:p>
      <w:pPr>
        <w:pStyle w:val="Normal"/>
        <w:spacing w:lineRule="auto" w:line="360" w:before="0" w:after="0"/>
        <w:ind w:firstLine="680"/>
        <w:jc w:val="both"/>
        <w:rPr>
          <w:rFonts w:ascii="Times New Roman" w:hAnsi="Times New Roman"/>
          <w:b/>
          <w:b/>
          <w:i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</w:r>
    </w:p>
    <w:p>
      <w:pPr>
        <w:pStyle w:val="Normal"/>
        <w:spacing w:lineRule="auto" w:line="360" w:before="0" w:after="0"/>
        <w:ind w:firstLine="680"/>
        <w:jc w:val="both"/>
        <w:rPr>
          <w:rFonts w:ascii="Times New Roman" w:hAnsi="Times New Roman"/>
          <w:b/>
          <w:b/>
          <w:i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</w:r>
    </w:p>
    <w:p>
      <w:pPr>
        <w:pStyle w:val="Normal"/>
        <w:spacing w:lineRule="auto" w:line="360" w:before="0" w:after="0"/>
        <w:ind w:firstLine="680"/>
        <w:jc w:val="both"/>
        <w:rPr>
          <w:rFonts w:ascii="Times New Roman" w:hAnsi="Times New Roman"/>
          <w:b/>
          <w:b/>
          <w:i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Образец ХП-1а – кварцевая жила </w:t>
      </w:r>
      <w:r>
        <w:rPr>
          <w:rFonts w:ascii="Times New Roman" w:hAnsi="Times New Roman"/>
          <w:sz w:val="24"/>
          <w:szCs w:val="24"/>
        </w:rPr>
        <w:t>– текстура пятнистая, структура мелкозернистая. Кроме кварца, который составляет основную массу, имеются вкрапления малахита зеленого цвета и гематита буроватого цвета.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Гематит</w:t>
      </w:r>
      <w:r>
        <w:rPr>
          <w:rFonts w:ascii="Times New Roman" w:hAnsi="Times New Roman"/>
          <w:sz w:val="24"/>
          <w:szCs w:val="24"/>
        </w:rPr>
        <w:t xml:space="preserve"> – цвет красноватый, буро-красный. Форма зерна ксеноморфно-вытянутая. Гематит часто ассоциирует с крупными скоплениями зерен эпидота. Размер выделений гематита 0,5*0,2 мм.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Кварц</w:t>
      </w:r>
      <w:r>
        <w:rPr>
          <w:rFonts w:ascii="Times New Roman" w:hAnsi="Times New Roman"/>
          <w:sz w:val="24"/>
          <w:szCs w:val="24"/>
        </w:rPr>
        <w:t xml:space="preserve"> – цвет сероватый. Форма выделений блоковая с волнистым погасанием. Кварц составляет 99 % от общей массы образца. 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Эпидот</w:t>
      </w:r>
      <w:r>
        <w:rPr>
          <w:rFonts w:ascii="Times New Roman" w:hAnsi="Times New Roman"/>
          <w:sz w:val="24"/>
          <w:szCs w:val="24"/>
        </w:rPr>
        <w:t xml:space="preserve"> – цвет ярко-зеленый. Форма выделений вытянутая. Является второстепенным минералом. Четко виден рельеф.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Малахит</w:t>
      </w:r>
      <w:r>
        <w:rPr>
          <w:rFonts w:ascii="Times New Roman" w:hAnsi="Times New Roman"/>
          <w:sz w:val="24"/>
          <w:szCs w:val="24"/>
        </w:rPr>
        <w:t xml:space="preserve"> – цвет зеленый. Форма выделений колломорфная, развит по кварцу. Плеохроирует.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Эпидот</w:t>
      </w:r>
      <w:r>
        <w:rPr>
          <w:rFonts w:ascii="Times New Roman" w:hAnsi="Times New Roman"/>
          <w:sz w:val="24"/>
          <w:szCs w:val="24"/>
        </w:rPr>
        <w:t xml:space="preserve"> – ярко-зеленого цвета, зерно вытянутой формы. Высокие цвета интерференции. Занимает 0,5 % от общего объема породы.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описания шлифов, было выявлено, что часть описываемой породы является скарновой. Были описаны гранатовый скарн и пироксеновый. Также была описана кварцевая жила. Она состоит из эпидота, гематита и малахита.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Style w:val="af0"/>
        <w:tblW w:w="9039" w:type="dxa"/>
        <w:jc w:val="left"/>
        <w:tblInd w:w="311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28"/>
        <w:gridCol w:w="4110"/>
      </w:tblGrid>
      <w:tr>
        <w:trPr/>
        <w:tc>
          <w:tcPr>
            <w:tcW w:w="492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/>
              <w:drawing>
                <wp:inline distT="0" distB="0" distL="19050" distR="4445">
                  <wp:extent cx="2948305" cy="2314575"/>
                  <wp:effectExtent l="0" t="0" r="0" b="0"/>
                  <wp:docPr id="89" name="Изображение6" descr="IMG_20180601_22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6" descr="IMG_20180601_22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9183" t="20995" r="27718" b="8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/>
              <w:drawing>
                <wp:inline distT="0" distB="0" distL="19050" distR="6985">
                  <wp:extent cx="2431415" cy="2343150"/>
                  <wp:effectExtent l="0" t="0" r="0" b="0"/>
                  <wp:docPr id="90" name="Рисунок 23" descr="рабочий  стол 5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23" descr="рабочий  стол 5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038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Рис.3.9. Кварцевая жил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Style w:val="af0"/>
        <w:tblW w:w="104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211"/>
        <w:gridCol w:w="5210"/>
      </w:tblGrid>
      <w:tr>
        <w:trPr/>
        <w:tc>
          <w:tcPr>
            <w:tcW w:w="52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8255">
                  <wp:extent cx="2696845" cy="1934210"/>
                  <wp:effectExtent l="0" t="0" r="0" b="0"/>
                  <wp:docPr id="91" name="Рисунок 2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22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0">
                  <wp:extent cx="2744470" cy="1924685"/>
                  <wp:effectExtent l="0" t="0" r="0" b="0"/>
                  <wp:docPr id="92" name="Рисунок 26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26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47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5" w:hRule="atLeast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Рис. 3.10. Зерно гематита (</w:t>
            </w:r>
            <w:r>
              <w:rPr>
                <w:rFonts w:ascii="Times New Roman" w:hAnsi="Times New Roman"/>
                <w:lang w:val="en-US" w:eastAsia="ru-RU"/>
              </w:rPr>
              <w:t>Hem</w:t>
            </w:r>
            <w:r>
              <w:rPr>
                <w:rFonts w:ascii="Times New Roman" w:hAnsi="Times New Roman"/>
                <w:lang w:eastAsia="ru-RU"/>
              </w:rPr>
              <w:t>) в кварце(</w:t>
            </w:r>
            <w:r>
              <w:rPr>
                <w:rFonts w:ascii="Times New Roman" w:hAnsi="Times New Roman"/>
                <w:lang w:val="en-US" w:eastAsia="ru-RU"/>
              </w:rPr>
              <w:t>Q</w:t>
            </w:r>
            <w:r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Рис. 3.11. Жила эпидота (</w:t>
            </w:r>
            <w:r>
              <w:rPr>
                <w:rFonts w:ascii="Times New Roman" w:hAnsi="Times New Roman"/>
                <w:lang w:val="en-US" w:eastAsia="ru-RU"/>
              </w:rPr>
              <w:t>Epid</w:t>
            </w:r>
            <w:r>
              <w:rPr>
                <w:rFonts w:ascii="Times New Roman" w:hAnsi="Times New Roman"/>
                <w:lang w:eastAsia="ru-RU"/>
              </w:rPr>
              <w:t>) в кварце (</w:t>
            </w:r>
            <w:r>
              <w:rPr>
                <w:rFonts w:ascii="Times New Roman" w:hAnsi="Times New Roman"/>
                <w:lang w:val="en-US" w:eastAsia="ru-RU"/>
              </w:rPr>
              <w:t>Q</w:t>
            </w:r>
            <w:r>
              <w:rPr>
                <w:rFonts w:ascii="Times New Roman" w:hAnsi="Times New Roman"/>
                <w:lang w:eastAsia="ru-RU"/>
              </w:rPr>
              <w:t>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3">
                <wp:simplePos x="0" y="0"/>
                <wp:positionH relativeFrom="page">
                  <wp:posOffset>888365</wp:posOffset>
                </wp:positionH>
                <wp:positionV relativeFrom="paragraph">
                  <wp:posOffset>81280</wp:posOffset>
                </wp:positionV>
                <wp:extent cx="6549390" cy="2290445"/>
                <wp:effectExtent l="0" t="0" r="0" b="0"/>
                <wp:wrapSquare wrapText="bothSides"/>
                <wp:docPr id="93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390" cy="229044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page" w:leftFromText="180" w:rightFromText="180" w:tblpX="1507" w:tblpY="128" w:topFromText="0" w:vertAnchor="text"/>
                              <w:tblW w:w="10314" w:type="dxa"/>
                              <w:jc w:val="left"/>
                              <w:tblInd w:w="0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4503"/>
                              <w:gridCol w:w="5810"/>
                            </w:tblGrid>
                            <w:tr>
                              <w:trPr>
                                <w:trHeight w:val="3289" w:hRule="atLeast"/>
                              </w:trPr>
                              <w:tc>
                                <w:tcPr>
                                  <w:tcW w:w="450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9525">
                                        <wp:extent cx="14605" cy="14605"/>
                                        <wp:effectExtent l="0" t="0" r="0" b="0"/>
                                        <wp:docPr id="94" name="Изображение7" descr="C:\Users\Саня\Desktop\ХП-1а\малахит в окружении кварца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Изображение7" descr="C:\Users\Саня\Desktop\ХП-1а\малахит в окружении кварца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05" cy="14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  <w:drawing>
                                      <wp:inline distT="0" distB="0" distL="19050" distR="0">
                                        <wp:extent cx="2496820" cy="1982470"/>
                                        <wp:effectExtent l="0" t="0" r="0" b="0"/>
                                        <wp:docPr id="95" name="Рисунок 27" descr="Безымянный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" name="Рисунок 27" descr="Безымянный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6820" cy="1982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81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="0" w:after="0"/>
                                    <w:ind w:left="-593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0">
                                        <wp:extent cx="2973070" cy="1991360"/>
                                        <wp:effectExtent l="0" t="0" r="0" b="0"/>
                                        <wp:docPr id="96" name="Рисунок 28" descr="Безымянный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Рисунок 28" descr="Безымянный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73070" cy="1991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450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ascii="Times New Roman" w:hAnsi="Times New Roman"/>
                                      <w:lang w:eastAsia="ru-RU"/>
                                    </w:rPr>
                                    <w:t>Рис. 3.12. Малахит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 w:eastAsia="ru-RU"/>
                                    </w:rPr>
                                    <w:t>Mlh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eastAsia="ru-RU"/>
                                    </w:rPr>
                                    <w:t>) в кварце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 w:eastAsia="ru-RU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eastAsia="ru-RU"/>
                                    </w:rPr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581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="0" w:after="0"/>
                                    <w:ind w:left="175" w:hanging="0"/>
                                    <w:rPr/>
                                  </w:pPr>
                                  <w:r>
                                    <w:rPr>
                                      <w:rFonts w:ascii="Times New Roman" w:hAnsi="Times New Roman"/>
                                      <w:lang w:eastAsia="ru-RU"/>
                                    </w:rPr>
                                    <w:t>Рис. 3.13. Кварц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 w:eastAsia="ru-RU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eastAsia="ru-RU"/>
                                    </w:rPr>
                                    <w:t>) в срастании с эпидотом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 w:eastAsia="ru-RU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eastAsia="ru-RU"/>
                                    </w:rPr>
                                    <w:t>).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5.7pt;height:180.35pt;mso-wrap-distance-left:9pt;mso-wrap-distance-right:9pt;mso-wrap-distance-top:0pt;mso-wrap-distance-bottom:0pt;margin-top:6.4pt;mso-position-vertical-relative:text;margin-left:69.95pt;mso-position-horizontal-relative:page">
                <v:textbox inset="0in,0in,0in,0in">
                  <w:txbxContent>
                    <w:tbl>
                      <w:tblPr>
                        <w:tblpPr w:bottomFromText="0" w:horzAnchor="page" w:leftFromText="180" w:rightFromText="180" w:tblpX="1507" w:tblpY="128" w:topFromText="0" w:vertAnchor="text"/>
                        <w:tblW w:w="10314" w:type="dxa"/>
                        <w:jc w:val="left"/>
                        <w:tblInd w:w="0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4503"/>
                        <w:gridCol w:w="5810"/>
                      </w:tblGrid>
                      <w:tr>
                        <w:trPr>
                          <w:trHeight w:val="3289" w:hRule="atLeast"/>
                        </w:trPr>
                        <w:tc>
                          <w:tcPr>
                            <w:tcW w:w="4503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19050" distR="9525">
                                  <wp:extent cx="14605" cy="14605"/>
                                  <wp:effectExtent l="0" t="0" r="0" b="0"/>
                                  <wp:docPr id="97" name="Изображение7" descr="C:\Users\Саня\Desktop\ХП-1а\малахит в окружении кварц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Изображение7" descr="C:\Users\Саня\Desktop\ХП-1а\малахит в окружении кварц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" cy="1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19050" distR="0">
                                  <wp:extent cx="2496820" cy="1982470"/>
                                  <wp:effectExtent l="0" t="0" r="0" b="0"/>
                                  <wp:docPr id="98" name="Рисунок 27" descr="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Рисунок 27" descr="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198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810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before="0" w:after="0"/>
                              <w:ind w:left="-593" w:hanging="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19050" distR="0">
                                  <wp:extent cx="2973070" cy="1991360"/>
                                  <wp:effectExtent l="0" t="0" r="0" b="0"/>
                                  <wp:docPr id="99" name="Рисунок 28" descr="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Рисунок 28" descr="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070" cy="199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4503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lang w:eastAsia="ru-RU"/>
                              </w:rPr>
                              <w:t>Рис. 3.12. Малахит (</w:t>
                            </w:r>
                            <w:r>
                              <w:rPr>
                                <w:rFonts w:ascii="Times New Roman" w:hAnsi="Times New Roman"/>
                                <w:lang w:val="en-US" w:eastAsia="ru-RU"/>
                              </w:rPr>
                              <w:t>Mlh</w:t>
                            </w:r>
                            <w:r>
                              <w:rPr>
                                <w:rFonts w:ascii="Times New Roman" w:hAnsi="Times New Roman"/>
                                <w:lang w:eastAsia="ru-RU"/>
                              </w:rPr>
                              <w:t>) в кварце (</w:t>
                            </w:r>
                            <w:r>
                              <w:rPr>
                                <w:rFonts w:ascii="Times New Roman" w:hAnsi="Times New Roman"/>
                                <w:lang w:val="en-US" w:eastAsia="ru-RU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lang w:eastAsia="ru-RU"/>
                              </w:rPr>
                              <w:t>).</w:t>
                            </w:r>
                          </w:p>
                        </w:tc>
                        <w:tc>
                          <w:tcPr>
                            <w:tcW w:w="5810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spacing w:before="0" w:after="0"/>
                              <w:ind w:left="175" w:hanging="0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lang w:eastAsia="ru-RU"/>
                              </w:rPr>
                              <w:t>Рис. 3.13. Кварц (</w:t>
                            </w:r>
                            <w:r>
                              <w:rPr>
                                <w:rFonts w:ascii="Times New Roman" w:hAnsi="Times New Roman"/>
                                <w:lang w:val="en-US" w:eastAsia="ru-RU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lang w:eastAsia="ru-RU"/>
                              </w:rPr>
                              <w:t>) в срастании с эпидотом (</w:t>
                            </w:r>
                            <w:r>
                              <w:rPr>
                                <w:rFonts w:ascii="Times New Roman" w:hAnsi="Times New Roman"/>
                                <w:lang w:val="en-US" w:eastAsia="ru-RU"/>
                              </w:rPr>
                              <w:t>Ep</w:t>
                            </w:r>
                            <w:r>
                              <w:rPr>
                                <w:rFonts w:ascii="Times New Roman" w:hAnsi="Times New Roman"/>
                                <w:lang w:eastAsia="ru-RU"/>
                              </w:rPr>
                              <w:t>).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cs="Times New Roman" w:ascii="Times New Roman" w:hAnsi="Times New Roman"/>
          <w:sz w:val="24"/>
          <w:szCs w:val="24"/>
        </w:rPr>
        <w:t xml:space="preserve">Таким образом, вмещающие породы месторождения Копто представлены гранатовым и пироксеновым скарнами и кварцевой жилой, имеют прожилково-вкрапленные текстуры, мелкозернистые текстуры. Минеральные состав представлен кварцем, эпидотом, малахитом. Золото-сульфидные жилы приурочены к кварцевым жилам, </w:t>
      </w:r>
      <w:r>
        <w:rPr>
          <w:rFonts w:cs="Times New Roman" w:ascii="Times New Roman" w:hAnsi="Times New Roman"/>
          <w:sz w:val="24"/>
          <w:szCs w:val="24"/>
          <w:highlight w:val="green"/>
        </w:rPr>
        <w:t>сложенным таким-то кварцем…..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cs="Times New Roman" w:ascii="Times New Roman" w:hAnsi="Times New Roman"/>
          <w:sz w:val="24"/>
          <w:szCs w:val="24"/>
          <w:highlight w:val="green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3.2. РУДЫ 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Исследованные руды отобраны из 1 рудного тела месторождения Копто.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Аншлиф </w:t>
      </w:r>
      <w:r>
        <w:rPr>
          <w:rFonts w:ascii="Times New Roman" w:hAnsi="Times New Roman"/>
          <w:sz w:val="24"/>
          <w:szCs w:val="24"/>
          <w:u w:val="single"/>
        </w:rPr>
        <w:t>ХП-1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highlight w:val="yellow"/>
        </w:rPr>
        <w:t>Руда характеризуется прожилково-вкрапленной текстурой.</w:t>
      </w:r>
      <w:r>
        <w:rPr>
          <w:rFonts w:ascii="Times New Roman" w:hAnsi="Times New Roman"/>
          <w:sz w:val="24"/>
          <w:szCs w:val="24"/>
        </w:rPr>
        <w:t xml:space="preserve"> Структура мелкозернистая. Макроскопически образец состоит из кальцита (99 %), пирита (0,5 %), золота (0,5 %).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Пирит</w:t>
      </w:r>
      <w:r>
        <w:rPr>
          <w:rFonts w:ascii="Times New Roman" w:hAnsi="Times New Roman"/>
          <w:sz w:val="24"/>
          <w:szCs w:val="24"/>
        </w:rPr>
        <w:t xml:space="preserve"> – желтовато-белый, с высоким отражением. Имеет округло-вытянутую форму выделений. Зерна находятся в общей массе кальцита в окружении золота. Также окаймлен ковеллином синего цвета. Размер зерен 3*2 мм.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Кальцит</w:t>
      </w:r>
      <w:r>
        <w:rPr>
          <w:rFonts w:ascii="Times New Roman" w:hAnsi="Times New Roman"/>
          <w:sz w:val="24"/>
          <w:szCs w:val="24"/>
        </w:rPr>
        <w:t xml:space="preserve"> – минерал составляет основную массу. Имеет буроватый цвет и рельеф на поверхности. Вскипает с кислотой.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Золото</w:t>
      </w:r>
      <w:r>
        <w:rPr>
          <w:rFonts w:ascii="Times New Roman" w:hAnsi="Times New Roman"/>
          <w:sz w:val="24"/>
          <w:szCs w:val="24"/>
        </w:rPr>
        <w:t xml:space="preserve"> – цвет насыщенно-желтый. Двуотражение не заметно. Внутренние рефлексы отсутствуют, но в скрещенных николях отчетливо видны царапины. Ксеноморфная форма выделений. Золото находится в ассоциации с пиритом.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Ковеллин</w:t>
      </w:r>
      <w:r>
        <w:rPr>
          <w:rFonts w:ascii="Times New Roman" w:hAnsi="Times New Roman"/>
          <w:sz w:val="24"/>
          <w:szCs w:val="24"/>
        </w:rPr>
        <w:t xml:space="preserve"> – минерал представлен в виде каймы синего цвета, вокруг золота. </w:t>
      </w:r>
    </w:p>
    <w:p>
      <w:pPr>
        <w:pStyle w:val="Normal"/>
        <w:spacing w:before="0" w:after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1031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25"/>
        <w:gridCol w:w="5988"/>
      </w:tblGrid>
      <w:tr>
        <w:trPr>
          <w:trHeight w:val="3428" w:hRule="atLeast"/>
        </w:trPr>
        <w:tc>
          <w:tcPr>
            <w:tcW w:w="4325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0">
                  <wp:extent cx="2573020" cy="2058035"/>
                  <wp:effectExtent l="0" t="0" r="0" b="0"/>
                  <wp:docPr id="100" name="Изображение8" descr="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8" descr="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0">
                  <wp:extent cx="2915920" cy="2096135"/>
                  <wp:effectExtent l="0" t="0" r="0" b="0"/>
                  <wp:docPr id="101" name="Рисунок 7" descr="77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7" descr="77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325" w:type="dxa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3.14. Золото (</w:t>
            </w:r>
            <w:r>
              <w:rPr>
                <w:rFonts w:ascii="Times New Roman" w:hAnsi="Times New Roman"/>
                <w:lang w:val="en-US" w:eastAsia="ru-RU"/>
              </w:rPr>
              <w:t>Au</w:t>
            </w:r>
            <w:r>
              <w:rPr>
                <w:rFonts w:ascii="Times New Roman" w:hAnsi="Times New Roman"/>
                <w:lang w:eastAsia="ru-RU"/>
              </w:rPr>
              <w:t>) с каймой ковеллина (</w:t>
            </w:r>
            <w:r>
              <w:rPr>
                <w:rFonts w:ascii="Times New Roman" w:hAnsi="Times New Roman"/>
                <w:lang w:val="en-US" w:eastAsia="ru-RU"/>
              </w:rPr>
              <w:t>Cov</w:t>
            </w:r>
            <w:r>
              <w:rPr>
                <w:rFonts w:ascii="Times New Roman" w:hAnsi="Times New Roman"/>
                <w:lang w:eastAsia="ru-RU"/>
              </w:rPr>
              <w:t>) в кальците (Са).</w:t>
            </w:r>
          </w:p>
        </w:tc>
        <w:tc>
          <w:tcPr>
            <w:tcW w:w="5988" w:type="dxa"/>
            <w:tcBorders/>
            <w:shd w:fill="auto" w:val="clear"/>
          </w:tcPr>
          <w:p>
            <w:pPr>
              <w:pStyle w:val="Normal"/>
              <w:spacing w:before="0" w:after="0"/>
              <w:ind w:left="636" w:right="600" w:hanging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3.15. Пирит (Ру) окружен золотом (</w:t>
            </w:r>
            <w:r>
              <w:rPr>
                <w:rFonts w:ascii="Times New Roman" w:hAnsi="Times New Roman"/>
                <w:lang w:val="en-US" w:eastAsia="ru-RU"/>
              </w:rPr>
              <w:t>Au</w:t>
            </w:r>
            <w:r>
              <w:rPr>
                <w:rFonts w:ascii="Times New Roman" w:hAnsi="Times New Roman"/>
                <w:lang w:eastAsia="ru-RU"/>
              </w:rPr>
              <w:t>) в кальците (Са).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571"/>
      </w:tblGrid>
      <w:tr>
        <w:trPr>
          <w:trHeight w:val="3095" w:hRule="atLeast"/>
        </w:trPr>
        <w:tc>
          <w:tcPr>
            <w:tcW w:w="9571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/>
              <w:drawing>
                <wp:inline distT="0" distB="0" distL="19050" distR="0">
                  <wp:extent cx="2934970" cy="1905635"/>
                  <wp:effectExtent l="0" t="0" r="0" b="0"/>
                  <wp:docPr id="102" name="Рисунок 8" descr="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8" descr="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61" w:hRule="atLeast"/>
        </w:trPr>
        <w:tc>
          <w:tcPr>
            <w:tcW w:w="9571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3.16. Пирит (Ру) в кальците (Са).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Аншлиф ХП-35.</w:t>
      </w:r>
      <w:r>
        <w:rPr>
          <w:rFonts w:ascii="Times New Roman" w:hAnsi="Times New Roman"/>
          <w:sz w:val="24"/>
          <w:szCs w:val="24"/>
        </w:rPr>
        <w:t xml:space="preserve"> Структура скрытозернистая. Макроскопически руда состоит из кальцита (99 %), золота (0,5 %), вторичный гематит (0,5 %).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Кальцит</w:t>
      </w:r>
      <w:r>
        <w:rPr>
          <w:rFonts w:ascii="Times New Roman" w:hAnsi="Times New Roman"/>
          <w:sz w:val="24"/>
          <w:szCs w:val="24"/>
        </w:rPr>
        <w:t xml:space="preserve"> – минерал составляет основную массу. Имеет буроватый цвет и рельеф на поверхности. Вскипает с кислотой. Имеет полосы двойникования.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Золото</w:t>
      </w:r>
      <w:r>
        <w:rPr>
          <w:rFonts w:ascii="Times New Roman" w:hAnsi="Times New Roman"/>
          <w:sz w:val="24"/>
          <w:szCs w:val="24"/>
        </w:rPr>
        <w:t xml:space="preserve"> – цвет насыщенно-желтый. двуотражение не заметно. Внутренние рефлексы отсутствуют, но в скрещенных николях отчетливо видны царапины. Ксеноморфная форма выделений. Размер зерен от 2 до 5 мм. </w:t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31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84"/>
        <w:gridCol w:w="5529"/>
      </w:tblGrid>
      <w:tr>
        <w:trPr/>
        <w:tc>
          <w:tcPr>
            <w:tcW w:w="4784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8890">
                  <wp:extent cx="2601595" cy="2200910"/>
                  <wp:effectExtent l="0" t="0" r="0" b="0"/>
                  <wp:docPr id="103" name="Рисунок 9" descr="13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9" descr="13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0">
                  <wp:extent cx="2611120" cy="2211070"/>
                  <wp:effectExtent l="0" t="0" r="0" b="0"/>
                  <wp:docPr id="104" name="Рисунок 10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4" w:type="dxa"/>
            <w:tcBorders/>
            <w:shd w:fill="auto" w:val="clear"/>
          </w:tcPr>
          <w:p>
            <w:pPr>
              <w:pStyle w:val="Normal"/>
              <w:spacing w:before="0" w:after="0"/>
              <w:ind w:left="284" w:hanging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3.17. Золото (</w:t>
            </w:r>
            <w:r>
              <w:rPr>
                <w:rFonts w:ascii="Times New Roman" w:hAnsi="Times New Roman"/>
                <w:lang w:val="en-US" w:eastAsia="ru-RU"/>
              </w:rPr>
              <w:t>Au</w:t>
            </w:r>
            <w:r>
              <w:rPr>
                <w:rFonts w:ascii="Times New Roman" w:hAnsi="Times New Roman"/>
                <w:lang w:eastAsia="ru-RU"/>
              </w:rPr>
              <w:t>) в кальците (Са).</w:t>
            </w:r>
          </w:p>
        </w:tc>
        <w:tc>
          <w:tcPr>
            <w:tcW w:w="5529" w:type="dxa"/>
            <w:tcBorders/>
            <w:shd w:fill="auto" w:val="clear"/>
          </w:tcPr>
          <w:p>
            <w:pPr>
              <w:pStyle w:val="Normal"/>
              <w:spacing w:before="0" w:after="0"/>
              <w:ind w:left="602" w:right="600" w:hanging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3.18. Золото (</w:t>
            </w:r>
            <w:r>
              <w:rPr>
                <w:rFonts w:ascii="Times New Roman" w:hAnsi="Times New Roman"/>
                <w:lang w:val="en-US" w:eastAsia="ru-RU"/>
              </w:rPr>
              <w:t>Au</w:t>
            </w:r>
            <w:r>
              <w:rPr>
                <w:rFonts w:ascii="Times New Roman" w:hAnsi="Times New Roman"/>
                <w:lang w:eastAsia="ru-RU"/>
              </w:rPr>
              <w:t>) в кальците (Са) с медно-окисленной пленкой бурого цвета.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Аншлиф ХП-15.</w:t>
      </w:r>
      <w:r>
        <w:rPr>
          <w:rFonts w:ascii="Times New Roman" w:hAnsi="Times New Roman"/>
          <w:sz w:val="24"/>
          <w:szCs w:val="24"/>
        </w:rPr>
        <w:t xml:space="preserve"> Руда имеет вкрапленную текстуру и скрытозернистую структуру, состоит из кальцита (99 %), магнетита в виде отдельных зерен (0,6 %), золота (0,4 %).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Золото</w:t>
      </w:r>
      <w:r>
        <w:rPr>
          <w:rFonts w:ascii="Times New Roman" w:hAnsi="Times New Roman"/>
          <w:sz w:val="24"/>
          <w:szCs w:val="24"/>
        </w:rPr>
        <w:t xml:space="preserve"> – цвет насыщенно-желтый. двуотражение не заметно. Внутренние рефлексы отсутствуют, но в скрещенных николях отчетливо видны царапины. Ксеноморфная форма выделений. Размер зерен от 2 до 5 мм. Зерна золота приурочены к кальциту или тяготеют к магнетиту.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Лимонит</w:t>
      </w:r>
      <w:r>
        <w:rPr>
          <w:rFonts w:ascii="Times New Roman" w:hAnsi="Times New Roman"/>
          <w:sz w:val="24"/>
          <w:szCs w:val="24"/>
        </w:rPr>
        <w:t xml:space="preserve"> – коричневато-серый. Отражение умеренно низкое, изотропен. Внутренних рефлексов нет. Зерно пластинчатой формы. Предположительно это зерно является псевдоморфозой по пириту, так как золото наблюдалось либо в кварце, либо в кальците.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Кальцит</w:t>
      </w:r>
      <w:r>
        <w:rPr>
          <w:rFonts w:ascii="Times New Roman" w:hAnsi="Times New Roman"/>
          <w:sz w:val="24"/>
          <w:szCs w:val="24"/>
        </w:rPr>
        <w:t xml:space="preserve"> составляет основную массу. Имеет буроватый цвет и рельеф на поверхности. Вскипает с кислотой. Имеет полосы двойникования.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Style w:val="af0"/>
        <w:tblW w:w="5305" w:type="dxa"/>
        <w:jc w:val="left"/>
        <w:tblInd w:w="2214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05"/>
      </w:tblGrid>
      <w:tr>
        <w:trPr/>
        <w:tc>
          <w:tcPr>
            <w:tcW w:w="530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338" w:hanging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/>
              <w:drawing>
                <wp:inline distT="0" distB="0" distL="19050" distR="0">
                  <wp:extent cx="2997835" cy="2395855"/>
                  <wp:effectExtent l="0" t="0" r="0" b="0"/>
                  <wp:docPr id="105" name="Рисунок 11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1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0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3.19. Золото (</w:t>
            </w:r>
            <w:r>
              <w:rPr>
                <w:rFonts w:ascii="Times New Roman" w:hAnsi="Times New Roman"/>
                <w:lang w:val="en-US" w:eastAsia="ru-RU"/>
              </w:rPr>
              <w:t>Au</w:t>
            </w:r>
            <w:r>
              <w:rPr>
                <w:rFonts w:ascii="Times New Roman" w:hAnsi="Times New Roman"/>
                <w:lang w:eastAsia="ru-RU"/>
              </w:rPr>
              <w:t>) в лимоните (</w:t>
            </w:r>
            <w:r>
              <w:rPr>
                <w:rFonts w:ascii="Times New Roman" w:hAnsi="Times New Roman"/>
                <w:lang w:val="en-US" w:eastAsia="ru-RU"/>
              </w:rPr>
              <w:t>Lim</w:t>
            </w:r>
            <w:r>
              <w:rPr>
                <w:rFonts w:ascii="Times New Roman" w:hAnsi="Times New Roman"/>
                <w:lang w:eastAsia="ru-RU"/>
              </w:rPr>
              <w:t>) в кальцитовой основной массе (Са).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Аншлиф ХП-1б</w:t>
      </w:r>
      <w:r>
        <w:rPr>
          <w:rFonts w:ascii="Times New Roman" w:hAnsi="Times New Roman"/>
          <w:sz w:val="24"/>
          <w:szCs w:val="24"/>
        </w:rPr>
        <w:t xml:space="preserve"> руда имеет прожилковую текстуру и скрытозернистую структуру. Состоит из гетита (40 %), кварца (56 %), золота (2 %), пирита (2 %).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Гетит</w:t>
      </w:r>
      <w:r>
        <w:rPr>
          <w:rFonts w:ascii="Times New Roman" w:hAnsi="Times New Roman"/>
          <w:sz w:val="24"/>
          <w:szCs w:val="24"/>
        </w:rPr>
        <w:t xml:space="preserve"> – имеет сероватый цвет, зерна имеют сплошную массу. Заполняют треть всего образца.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Кварц</w:t>
      </w:r>
      <w:r>
        <w:rPr>
          <w:rFonts w:ascii="Times New Roman" w:hAnsi="Times New Roman"/>
          <w:sz w:val="24"/>
          <w:szCs w:val="24"/>
        </w:rPr>
        <w:t xml:space="preserve"> – занимает большую часть образца и содержит в себе золото, что говорит о том, что золото есть и в кварце и в карбонате. Зерна кварца сероватого цвета в виде  сплошных и вытянутых зерен.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Золото</w:t>
      </w:r>
      <w:r>
        <w:rPr>
          <w:rFonts w:ascii="Times New Roman" w:hAnsi="Times New Roman"/>
          <w:sz w:val="24"/>
          <w:szCs w:val="24"/>
        </w:rPr>
        <w:t xml:space="preserve"> – золото расположено на границе кварца и гетита. Оно ярко-желтого цвета. Имеет размер 0,5х0,1 мм. Форма зерна вытянутая.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Пирит</w:t>
      </w:r>
      <w:r>
        <w:rPr>
          <w:rFonts w:ascii="Times New Roman" w:hAnsi="Times New Roman"/>
          <w:sz w:val="24"/>
          <w:szCs w:val="24"/>
        </w:rPr>
        <w:t xml:space="preserve"> – зерно желтого цвета, ксеноморфной формы. Расположено, как и золото на границе кварца и гетита. Имеет размеры 1,2х0,7 мм.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4">
                <wp:simplePos x="0" y="0"/>
                <wp:positionH relativeFrom="margin">
                  <wp:align>center</wp:align>
                </wp:positionH>
                <wp:positionV relativeFrom="paragraph">
                  <wp:posOffset>67945</wp:posOffset>
                </wp:positionV>
                <wp:extent cx="3331210" cy="2693035"/>
                <wp:effectExtent l="0" t="0" r="0" b="0"/>
                <wp:wrapSquare wrapText="bothSides"/>
                <wp:docPr id="106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10" cy="269303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af0"/>
                              <w:tblpPr w:bottomFromText="0" w:horzAnchor="margin" w:leftFromText="180" w:rightFromText="180" w:tblpX="0" w:tblpXSpec="center" w:tblpY="107" w:topFromText="0" w:vertAnchor="text"/>
                              <w:tblW w:w="5246" w:type="dxa"/>
                              <w:jc w:val="center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5246"/>
                            </w:tblGrid>
                            <w:tr>
                              <w:trPr/>
                              <w:tc>
                                <w:tcPr>
                                  <w:tcW w:w="52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8890">
                                        <wp:extent cx="3172460" cy="2371725"/>
                                        <wp:effectExtent l="0" t="0" r="0" b="0"/>
                                        <wp:docPr id="107" name="Изображение9" descr="2223Безымянный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" name="Изображение9" descr="2223Безымянный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2460" cy="2371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2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Рис. 3.20. Золото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) на границе кварца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) и гетита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Gt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) с пиритом (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Py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2.3pt;height:212.05pt;mso-wrap-distance-left:9pt;mso-wrap-distance-right:9pt;mso-wrap-distance-top:0pt;mso-wrap-distance-bottom:0pt;margin-top:5.35pt;mso-position-vertical-relative:text;margin-left:124pt;mso-position-horizontal:center;mso-position-horizontal-relative:margin">
                <v:textbox inset="0in,0in,0in,0in">
                  <w:txbxContent>
                    <w:tbl>
                      <w:tblPr>
                        <w:tblStyle w:val="af0"/>
                        <w:tblpPr w:bottomFromText="0" w:horzAnchor="margin" w:leftFromText="180" w:rightFromText="180" w:tblpX="0" w:tblpXSpec="center" w:tblpY="107" w:topFromText="0" w:vertAnchor="text"/>
                        <w:tblW w:w="5246" w:type="dxa"/>
                        <w:jc w:val="center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5246"/>
                      </w:tblGrid>
                      <w:tr>
                        <w:trPr/>
                        <w:tc>
                          <w:tcPr>
                            <w:tcW w:w="52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8890">
                                  <wp:extent cx="3172460" cy="2371725"/>
                                  <wp:effectExtent l="0" t="0" r="0" b="0"/>
                                  <wp:docPr id="108" name="Изображение9" descr="2223Безымя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Изображение9" descr="2223Безымянны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46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2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Рис. 3.20. Золото (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Au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 на границе кварца (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 и гетита (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Gt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 с пиритом (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Py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Аншлиф ХП-5А </w:t>
      </w:r>
      <w:r>
        <w:rPr>
          <w:rFonts w:ascii="Times New Roman" w:hAnsi="Times New Roman"/>
          <w:sz w:val="24"/>
          <w:szCs w:val="24"/>
        </w:rPr>
        <w:t xml:space="preserve">представлен рудой пятнистой текстуры, структура скрытозернистая. Состоит из кальцита (99 %), мелких зерен пирита (0,5 %), мелких зерен магнетита (0,5 %). 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Пирит</w:t>
      </w:r>
      <w:r>
        <w:rPr>
          <w:rFonts w:ascii="Times New Roman" w:hAnsi="Times New Roman"/>
          <w:sz w:val="24"/>
          <w:szCs w:val="24"/>
        </w:rPr>
        <w:t xml:space="preserve"> – желтовато-белый, с высоким отражением, изотропен. Имеет округло-вытянутую форму выделений. Зерна находятся в общей массе кальцита. Размер зерна 3*0,5 мм.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Кальцит</w:t>
      </w:r>
      <w:r>
        <w:rPr>
          <w:rFonts w:ascii="Times New Roman" w:hAnsi="Times New Roman"/>
          <w:sz w:val="24"/>
          <w:szCs w:val="24"/>
        </w:rPr>
        <w:t xml:space="preserve"> составляет основную массу. Имеет буроватый цвет и рельеф на поверхности. Вскипает с кислотой. Имеет полосы двойникования.</w:t>
      </w:r>
    </w:p>
    <w:p>
      <w:pPr>
        <w:pStyle w:val="Normal"/>
        <w:spacing w:lineRule="auto" w:line="240" w:before="0" w:after="0"/>
        <w:ind w:firstLine="680"/>
        <w:jc w:val="both"/>
        <w:rPr>
          <w:rFonts w:ascii="Times New Roman" w:hAnsi="Times New Roman"/>
          <w:sz w:val="24"/>
          <w:szCs w:val="24"/>
          <w:highlight w:val="red"/>
        </w:rPr>
      </w:pPr>
      <w:r>
        <w:rPr>
          <w:rFonts w:ascii="Times New Roman" w:hAnsi="Times New Roman"/>
          <w:sz w:val="24"/>
          <w:szCs w:val="24"/>
          <w:highlight w:val="red"/>
        </w:rPr>
        <w:t>КВАРЦ НАПИСАТЬ ВМЕСТО КАЛЬЦИТА НА ФОТО СНИЗУ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8255">
            <wp:extent cx="3096895" cy="2362835"/>
            <wp:effectExtent l="0" t="0" r="0" b="0"/>
            <wp:docPr id="109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4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142"/>
        <w:jc w:val="center"/>
        <w:rPr>
          <w:rFonts w:ascii="Times New Roman" w:hAnsi="Times New Roman"/>
        </w:rPr>
      </w:pPr>
      <w:r>
        <w:rPr>
          <w:rFonts w:ascii="Times New Roman" w:hAnsi="Times New Roman"/>
          <w:lang w:eastAsia="ru-RU"/>
        </w:rPr>
        <w:t>Рис. 3.21. Пирит (Ру) в кальците (Са).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Аншлиф ХП-2 </w:t>
      </w:r>
      <w:r>
        <w:rPr>
          <w:rFonts w:ascii="Times New Roman" w:hAnsi="Times New Roman"/>
          <w:sz w:val="24"/>
          <w:szCs w:val="24"/>
        </w:rPr>
        <w:t>представлен рудой вкрапленной текстуры и мелкозернистой структуры. Состоит из кальцита (99,5 %), золота (0,5 %), вторичные изменения представлены гематитизацией.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Золото</w:t>
      </w:r>
      <w:r>
        <w:rPr>
          <w:rFonts w:ascii="Times New Roman" w:hAnsi="Times New Roman"/>
          <w:sz w:val="24"/>
          <w:szCs w:val="24"/>
        </w:rPr>
        <w:t xml:space="preserve"> – цвет насыщенно-желтый. двуотражение не заметно. Внутренние рефлексы отсутствуют, но в скрещенных николях отчетливо видны царапины. Оолитовая форма выделений. Размер зерен от 0,5 до 0,7 мм.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Гематит</w:t>
      </w:r>
      <w:r>
        <w:rPr>
          <w:rFonts w:ascii="Times New Roman" w:hAnsi="Times New Roman"/>
          <w:sz w:val="24"/>
          <w:szCs w:val="24"/>
        </w:rPr>
        <w:t xml:space="preserve"> – форма выделения таблитчатая. Цвет красный, рубиновый. Плеохроизм незаметен. Двуотражение не сильное. Находится в массе кальцита.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Кальцит</w:t>
      </w:r>
      <w:r>
        <w:rPr>
          <w:rFonts w:ascii="Times New Roman" w:hAnsi="Times New Roman"/>
          <w:sz w:val="24"/>
          <w:szCs w:val="24"/>
        </w:rPr>
        <w:t xml:space="preserve"> представлен в основной массе. Цвет буроватый, имеет рельеф на поверхности. Вскипает с кислотой. Имеет полосы двойникования.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31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314"/>
      </w:tblGrid>
      <w:tr>
        <w:trPr/>
        <w:tc>
          <w:tcPr>
            <w:tcW w:w="10314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19050" distR="6350">
                  <wp:extent cx="3288665" cy="2091055"/>
                  <wp:effectExtent l="0" t="0" r="0" b="0"/>
                  <wp:docPr id="110" name="Рисунок 15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5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65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0314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Рис. 3.22. Золото (</w:t>
            </w:r>
            <w:r>
              <w:rPr>
                <w:rFonts w:ascii="Times New Roman" w:hAnsi="Times New Roman"/>
                <w:lang w:val="en-US" w:eastAsia="ru-RU"/>
              </w:rPr>
              <w:t>Au</w:t>
            </w:r>
            <w:r>
              <w:rPr>
                <w:rFonts w:ascii="Times New Roman" w:hAnsi="Times New Roman"/>
                <w:lang w:eastAsia="ru-RU"/>
              </w:rPr>
              <w:t>) и гематит (</w:t>
            </w:r>
            <w:r>
              <w:rPr>
                <w:rFonts w:ascii="Times New Roman" w:hAnsi="Times New Roman"/>
                <w:lang w:val="en-US" w:eastAsia="ru-RU"/>
              </w:rPr>
              <w:t>Hem</w:t>
            </w:r>
            <w:r>
              <w:rPr>
                <w:rFonts w:ascii="Times New Roman" w:hAnsi="Times New Roman"/>
                <w:lang w:eastAsia="ru-RU"/>
              </w:rPr>
              <w:t>) в кальците (Са).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Таким образом, руды месторождения Копто имеют прожилково-вкрапленные текстуры, мелкозернистые текстуры. Минеральные состав представлен кальцитом, золотом, пиритом, лимонитом и кварцем. Золото находится в кальците и кварце в виде зерен вытянутой и округлой формы, размером от 0,5 до 3-4 мм.</w:t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Глава 4. УСЛОВИЯ ФОРМИРОВАНИЯ ЗОЛОТОНОСНЫХ КАРБОНАТНО-КВАЦЕВЫХ ЖИЛ (ПО ДАННЫМ ИЗУЧЕНИЯ ФЛЮИДНЫХ ВКЛЮЧЕНИЙ)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определения температур образования золотоносных сульфидно-карбонатно-кварцевых жил были проанализированы флюидные включения в кварце рудных жил.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Исследовано 4 образца с номерами ХП-1б, ХП-7, ХП-4, ХП-4б из 1 рудного тела месторождения. Кварц представлен сплошными зернами, прозрачного цвета.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Выделено 2 типа включений. Количественное соотношение определить трудно, т. к. встречаются как крупные включения, так и очень мелкие. Размер включений составляет до 15 мкм. Кроме двухфазных включений, имеются однофазные, состоящие из жидкости или газа. Размер их состалвяет порядка 5 мкм. Эти включения в кварце расположены разрозненно.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Двухфазные включения имеют округлую или овальную форму, редко в виде треугольника или прямоугольника. Включения расположены обособленно либо в небольших группах по 3–4 включения. Имеют четкие границы и сам газовый пузырек четко видно; отчетливо видна его форма и границы (рис. 4.1.).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Style w:val="af0"/>
        <w:tblW w:w="104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211"/>
        <w:gridCol w:w="5210"/>
      </w:tblGrid>
      <w:tr>
        <w:trPr/>
        <w:tc>
          <w:tcPr>
            <w:tcW w:w="52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drawing>
                <wp:inline distT="0" distB="0" distL="19050" distR="0">
                  <wp:extent cx="2801620" cy="1781810"/>
                  <wp:effectExtent l="0" t="0" r="0" b="0"/>
                  <wp:docPr id="112" name="Рисунок 61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61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83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859155</wp:posOffset>
                      </wp:positionV>
                      <wp:extent cx="555625" cy="98425"/>
                      <wp:effectExtent l="0" t="0" r="0" b="0"/>
                      <wp:wrapNone/>
                      <wp:docPr id="111" name="Фигура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120" cy="9792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876" h="156">
                                    <a:moveTo>
                                      <a:pt x="0" y="38"/>
                                    </a:moveTo>
                                    <a:lnTo>
                                      <a:pt x="656" y="38"/>
                                    </a:lnTo>
                                    <a:lnTo>
                                      <a:pt x="656" y="0"/>
                                    </a:lnTo>
                                    <a:lnTo>
                                      <a:pt x="875" y="77"/>
                                    </a:lnTo>
                                    <a:lnTo>
                                      <a:pt x="656" y="155"/>
                                    </a:lnTo>
                                    <a:lnTo>
                                      <a:pt x="656" y="116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0" y="38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13" coordsize="21600,21600" o:spt="13" adj="10800,10800" path="m0@5l@3@5l@3,l21600,10800l@3,21600l@3@6l0@6xe">
                      <v:stroke joinstyle="miter"/>
                      <v:formulas>
                        <v:f eqn="val 21600"/>
                        <v:f eqn="val #1"/>
                        <v:f eqn="val #0"/>
                        <v:f eqn="sum width 0 @2"/>
                        <v:f eqn="prod 1 @1 2"/>
                        <v:f eqn="sum 10800 0 @4"/>
                        <v:f eqn="sum 10800 @4 0"/>
                        <v:f eqn="prod @5 @2 10800"/>
                        <v:f eqn="sum @3 @7 0"/>
                      </v:formulas>
                      <v:path gradientshapeok="t" o:connecttype="rect" textboxrect="0,@5,@8,@6"/>
                      <v:handles>
                        <v:h position="0,@5"/>
                        <v:h position="@3,0"/>
                      </v:handles>
                    </v:shapetype>
                    <v:shape id="shape_0" ID="Фигура3" fillcolor="#729fcf" stroked="t" style="position:absolute;margin-left:100pt;margin-top:67.65pt;width:43.65pt;height:7.65pt" type="shapetype_13">
                      <w10:wrap type="none"/>
                      <v:fill o:detectmouseclick="t" color2="#8d6030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0">
                  <wp:extent cx="2819400" cy="1797050"/>
                  <wp:effectExtent l="0" t="0" r="0" b="0"/>
                  <wp:docPr id="114" name="Рисунок 29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29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84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982980</wp:posOffset>
                      </wp:positionV>
                      <wp:extent cx="555625" cy="98425"/>
                      <wp:effectExtent l="0" t="0" r="0" b="0"/>
                      <wp:wrapNone/>
                      <wp:docPr id="113" name="Фигура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120" cy="9792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876" h="156">
                                    <a:moveTo>
                                      <a:pt x="0" y="38"/>
                                    </a:moveTo>
                                    <a:lnTo>
                                      <a:pt x="656" y="38"/>
                                    </a:lnTo>
                                    <a:lnTo>
                                      <a:pt x="656" y="0"/>
                                    </a:lnTo>
                                    <a:lnTo>
                                      <a:pt x="875" y="77"/>
                                    </a:lnTo>
                                    <a:lnTo>
                                      <a:pt x="656" y="155"/>
                                    </a:lnTo>
                                    <a:lnTo>
                                      <a:pt x="656" y="116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0" y="38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Фигура3" fillcolor="#729fcf" stroked="t" style="position:absolute;margin-left:62.2pt;margin-top:77.4pt;width:43.65pt;height:7.65pt" type="shapetype_13">
                      <w10:wrap type="none"/>
                      <v:fill o:detectmouseclick="t" color2="#8d6030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52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8255">
                  <wp:extent cx="2830195" cy="1858010"/>
                  <wp:effectExtent l="0" t="0" r="0" b="0"/>
                  <wp:docPr id="116" name="Рисунок 30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30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79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1109980</wp:posOffset>
                      </wp:positionV>
                      <wp:extent cx="555625" cy="98425"/>
                      <wp:effectExtent l="0" t="0" r="0" b="0"/>
                      <wp:wrapNone/>
                      <wp:docPr id="115" name="Фигура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120" cy="9792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876" h="156">
                                    <a:moveTo>
                                      <a:pt x="0" y="38"/>
                                    </a:moveTo>
                                    <a:lnTo>
                                      <a:pt x="656" y="38"/>
                                    </a:lnTo>
                                    <a:lnTo>
                                      <a:pt x="656" y="0"/>
                                    </a:lnTo>
                                    <a:lnTo>
                                      <a:pt x="875" y="77"/>
                                    </a:lnTo>
                                    <a:lnTo>
                                      <a:pt x="656" y="155"/>
                                    </a:lnTo>
                                    <a:lnTo>
                                      <a:pt x="656" y="116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0" y="38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Фигура3" fillcolor="#729fcf" stroked="t" style="position:absolute;margin-left:82.15pt;margin-top:87.4pt;width:43.65pt;height:7.65pt" type="shapetype_13">
                      <w10:wrap type="none"/>
                      <v:fill o:detectmouseclick="t" color2="#8d6030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8255">
                  <wp:extent cx="2811145" cy="1829435"/>
                  <wp:effectExtent l="0" t="0" r="0" b="0"/>
                  <wp:docPr id="118" name="Рисунок 6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62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82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814705</wp:posOffset>
                      </wp:positionV>
                      <wp:extent cx="556260" cy="99060"/>
                      <wp:effectExtent l="0" t="0" r="0" b="0"/>
                      <wp:wrapNone/>
                      <wp:docPr id="117" name="Фигура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480" cy="9828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877" h="157">
                                    <a:moveTo>
                                      <a:pt x="0" y="39"/>
                                    </a:moveTo>
                                    <a:lnTo>
                                      <a:pt x="657" y="39"/>
                                    </a:lnTo>
                                    <a:lnTo>
                                      <a:pt x="657" y="0"/>
                                    </a:lnTo>
                                    <a:lnTo>
                                      <a:pt x="876" y="78"/>
                                    </a:lnTo>
                                    <a:lnTo>
                                      <a:pt x="657" y="156"/>
                                    </a:lnTo>
                                    <a:lnTo>
                                      <a:pt x="657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39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Фигура3" fillcolor="#729fcf" stroked="t" style="position:absolute;margin-left:74.2pt;margin-top:64.15pt;width:43.7pt;height:7.7pt" type="shapetype_13">
                      <w10:wrap type="none"/>
                      <v:fill o:detectmouseclick="t" color2="#8d6030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52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0">
                  <wp:extent cx="2839720" cy="1867535"/>
                  <wp:effectExtent l="0" t="0" r="0" b="0"/>
                  <wp:docPr id="120" name="Рисунок 31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31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80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728345</wp:posOffset>
                      </wp:positionV>
                      <wp:extent cx="555625" cy="98425"/>
                      <wp:effectExtent l="0" t="0" r="0" b="0"/>
                      <wp:wrapNone/>
                      <wp:docPr id="119" name="Фигура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120" cy="9792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876" h="156">
                                    <a:moveTo>
                                      <a:pt x="0" y="38"/>
                                    </a:moveTo>
                                    <a:lnTo>
                                      <a:pt x="656" y="38"/>
                                    </a:lnTo>
                                    <a:lnTo>
                                      <a:pt x="656" y="0"/>
                                    </a:lnTo>
                                    <a:lnTo>
                                      <a:pt x="875" y="77"/>
                                    </a:lnTo>
                                    <a:lnTo>
                                      <a:pt x="656" y="155"/>
                                    </a:lnTo>
                                    <a:lnTo>
                                      <a:pt x="656" y="116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0" y="38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Фигура3" fillcolor="#729fcf" stroked="t" style="position:absolute;margin-left:80.5pt;margin-top:57.35pt;width:43.65pt;height:7.65pt" type="shapetype_13">
                      <w10:wrap type="none"/>
                      <v:fill o:detectmouseclick="t" color2="#8d6030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T="0" distB="0" distL="19050" distR="2540">
                  <wp:extent cx="2835910" cy="1868170"/>
                  <wp:effectExtent l="0" t="0" r="0" b="0"/>
                  <wp:docPr id="122" name="Рисунок 33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33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8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804545</wp:posOffset>
                      </wp:positionV>
                      <wp:extent cx="555625" cy="98425"/>
                      <wp:effectExtent l="0" t="0" r="0" b="0"/>
                      <wp:wrapNone/>
                      <wp:docPr id="121" name="Фигура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120" cy="9792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876" h="156">
                                    <a:moveTo>
                                      <a:pt x="0" y="38"/>
                                    </a:moveTo>
                                    <a:lnTo>
                                      <a:pt x="656" y="38"/>
                                    </a:lnTo>
                                    <a:lnTo>
                                      <a:pt x="656" y="0"/>
                                    </a:lnTo>
                                    <a:lnTo>
                                      <a:pt x="875" y="77"/>
                                    </a:lnTo>
                                    <a:lnTo>
                                      <a:pt x="656" y="155"/>
                                    </a:lnTo>
                                    <a:lnTo>
                                      <a:pt x="656" y="116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0" y="38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Фигура3" fillcolor="#729fcf" stroked="t" style="position:absolute;margin-left:41.2pt;margin-top:63.35pt;width:43.65pt;height:7.65pt" type="shapetype_13">
                      <w10:wrap type="none"/>
                      <v:fill o:detectmouseclick="t" color2="#8d6030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</w:rPr>
        <w:t xml:space="preserve">Рис. 4.1. Типы флюидных включений в кварце: нужно расписать какие типы – первичные, вторичные, усказать стрелками как в презентации.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 – первичные двухфазные газово-жидкие флюидные включения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 – вторичные однофазные и двухфазные флюидные включения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Термометрические исследования были проведены с использованием микротермокамеры «</w:t>
      </w:r>
      <w:r>
        <w:rPr>
          <w:rFonts w:ascii="Times New Roman" w:hAnsi="Times New Roman"/>
          <w:sz w:val="24"/>
          <w:szCs w:val="24"/>
          <w:lang w:val="en-US"/>
        </w:rPr>
        <w:t>Linkam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lang w:val="en-US"/>
        </w:rPr>
        <w:t>THS</w:t>
      </w:r>
      <w:r>
        <w:rPr>
          <w:rFonts w:ascii="Times New Roman" w:hAnsi="Times New Roman"/>
          <w:sz w:val="24"/>
          <w:szCs w:val="24"/>
        </w:rPr>
        <w:t>-600 в лаборатории термобарогеохимии Геологического факультета ЮУрГУ.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Кварцевые пластины были измельчены до размеров не более 0,5 мм. Далее производились замеры температур гомогенизации включений. Каждый кусочек пластины помещался в термокамеру. Замер производился при нагреве со скоростью 10 градусов в минуту и при максимальной температуре 300 градусов. Далее проводились наблюдения за газово-жидкими включениями. По степени нагревания газовый пузырек внутри жидкого включения начинал двигаться и по степени нагрева исчезал. Б</w:t>
      </w:r>
      <w:r>
        <w:rPr>
          <w:rFonts w:cs="Times New Roman" w:ascii="Times New Roman" w:hAnsi="Times New Roman"/>
          <w:sz w:val="24"/>
          <w:szCs w:val="24"/>
        </w:rPr>
        <w:t>ыло сделано 44–45 замеров.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данные записывались в таблицу (Табл. 1.).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1. Результаты замера температуры гомогенизации  </w:t>
      </w:r>
    </w:p>
    <w:tbl>
      <w:tblPr>
        <w:tblW w:w="8540" w:type="dxa"/>
        <w:jc w:val="left"/>
        <w:tblInd w:w="9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1163"/>
        <w:gridCol w:w="1395"/>
        <w:gridCol w:w="1723"/>
        <w:gridCol w:w="1163"/>
        <w:gridCol w:w="1395"/>
        <w:gridCol w:w="1700"/>
      </w:tblGrid>
      <w:tr>
        <w:trPr>
          <w:trHeight w:val="630" w:hRule="atLeast"/>
        </w:trPr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пластины</w:t>
            </w:r>
          </w:p>
        </w:tc>
        <w:tc>
          <w:tcPr>
            <w:tcW w:w="13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замера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температура гомогенизации</w:t>
            </w:r>
          </w:p>
        </w:tc>
        <w:tc>
          <w:tcPr>
            <w:tcW w:w="116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пластины</w:t>
            </w:r>
          </w:p>
        </w:tc>
        <w:tc>
          <w:tcPr>
            <w:tcW w:w="13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замера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температура гомогенизации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ХП-1б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ХП-7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201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202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240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211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281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230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263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244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253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250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>
        <w:trPr>
          <w:trHeight w:val="630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пластины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замера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температура гомогенизации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пластины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номер замера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температура гомогенизации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ХП-4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250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ХП-4б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254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260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230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209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279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290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205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223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255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</w:tr>
      <w:tr>
        <w:trPr>
          <w:trHeight w:val="315" w:hRule="atLeast"/>
        </w:trPr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261</w:t>
            </w:r>
          </w:p>
        </w:tc>
        <w:tc>
          <w:tcPr>
            <w:tcW w:w="116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которых была построена гистограмма температур гомогенизации.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Интервал температур гомогенизации (Т</w:t>
      </w:r>
      <w:r>
        <w:rPr>
          <w:rFonts w:ascii="Times New Roman" w:hAnsi="Times New Roman"/>
          <w:sz w:val="24"/>
          <w:szCs w:val="24"/>
          <w:vertAlign w:val="subscript"/>
        </w:rPr>
        <w:t>гом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=45) составляет 100–300 °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(рис. 4.2.). Данные температуры считается минимальными температурами образования жил (Юминов, 2008). Гистограмма показывает однородный характер распределения с двумя ярко выраженными пиками – 200–220 и 240-260 °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/>
        <w:drawing>
          <wp:inline distT="0" distB="0" distL="19050" distR="0">
            <wp:extent cx="5286375" cy="3581400"/>
            <wp:effectExtent l="0" t="0" r="0" b="0"/>
            <wp:docPr id="123" name="Рисунок 0" descr="Коп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0" descr="Копто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4.2. Гистограмма температуры гомогенизации флюидных включений в кварце.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Построена автором в программе </w:t>
      </w:r>
      <w:r>
        <w:rPr>
          <w:rFonts w:ascii="Times New Roman" w:hAnsi="Times New Roman"/>
          <w:lang w:val="en-US"/>
        </w:rPr>
        <w:t>Statistica</w:t>
      </w:r>
      <w:r>
        <w:rPr>
          <w:rFonts w:ascii="Times New Roman" w:hAnsi="Times New Roman"/>
        </w:rPr>
        <w:t xml:space="preserve"> 6.1.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 гистограмме отчетливо видны два пика в интервале от 200 до 220 градусов и от 240 до 260 градусов. Эти два пика означают, что в этих температурных интервалах образовалось больше всего газово-жидких включений.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золото-сульфидно-карбонатно-кварцевые жилы на месторождении Копто образовались при температурах не ниже 100–300˚С (преобладающий интервал 200–260˚С).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ЗАКЛЮЧЕНИЕ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Вмещающие породы месторождения Копто представлены гранатовым скарном состоящим из граната (предположительно андрадит) и пироксена; пироксеновым скарном, состоящим из пироксена, кварца, плагиоклаза, малахита. Сульфидная минерализация с золотом приурочена к карбонатно-кварцевым жилам, состоящим из кальцита, кварца, эпидота, малахита, гематита.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color w:val="000000"/>
          <w:sz w:val="24"/>
        </w:rPr>
        <w:t xml:space="preserve">Рудная минерализация представлена </w:t>
      </w:r>
      <w:r>
        <w:rPr>
          <w:rFonts w:cs="Times New Roman" w:ascii="Times New Roman" w:hAnsi="Times New Roman"/>
          <w:sz w:val="24"/>
          <w:szCs w:val="24"/>
        </w:rPr>
        <w:t>кальцитом, золотом, пиритом, лимонитом и кварцем.</w:t>
      </w:r>
      <w:r>
        <w:rPr>
          <w:rFonts w:cs="Times New Roman" w:ascii="Times New Roman" w:hAnsi="Times New Roman"/>
          <w:color w:val="000000"/>
          <w:sz w:val="24"/>
        </w:rPr>
        <w:t xml:space="preserve"> Самородное золото приурочено к пириту, лимониту и кальците в виде включений и образует зерна пластинчатой формы.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Золото-сульфидно-карбонатно-кварцевые жилы на месторождении Копто образовались при температурах не ниже 100–300˚С (преобладающий интервал 200–260˚С), т.е. рудная минерализация на месторождении Копто относится среднетемпературной гидротермальной минеральной ассоциации.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СПИСОК ЛИТЕРАТУРЫ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 </w:t>
      </w:r>
      <w:r>
        <w:rPr>
          <w:rFonts w:cs="Times New Roman" w:ascii="Times New Roman" w:hAnsi="Times New Roman"/>
          <w:iCs/>
          <w:sz w:val="24"/>
          <w:szCs w:val="24"/>
        </w:rPr>
        <w:t>Борисенко А.С.</w:t>
      </w:r>
      <w:r>
        <w:rPr>
          <w:rFonts w:cs="Times New Roman" w:ascii="Times New Roman" w:hAnsi="Times New Roman"/>
          <w:sz w:val="24"/>
          <w:szCs w:val="24"/>
        </w:rPr>
        <w:t xml:space="preserve"> (1977) Изучение солевого состава растворов газово-жидких включений в минералах методом криометрии // Геология и геофизика, 8, 16–28.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2. Кабанова Л.Я. Петрография магматических горных пород. Екатеринбург: УрО РАН, 2008. 152 с.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Коробейников А.Ф., Зотов И.А. Закономерности формирования месторождений золото-скарновой формации: научное издание / А.Ф. Коробейников, И.А. Зотов – Томск: Изд-во ТПУ, 2006. – 235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А.Ф. Коробейников, Ю.С. Ананьев, А.И. Гусев, В.Г. Ворошилов, Г.Г Номоконова, А.Я. Пшеничкин, Т.В. Тимкин Рудно-метасоматическая и геохимическая зональность золоторудных полей и месторождений складчатых поясов Сибири: монография / А.Ф. Коробейников, Ю.С. Ананьев, А.И. Гусев и др.; отв. ред. А.Ф. Коробейников; Томский политехнический университет. – Томск: Изд-во Томского политехнического университета, 2013. – 458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Кабанова Л.Я. Петрография магматических горных пород. Екатеринбург: УрО РАН, 2008. 152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Cs/>
          <w:sz w:val="24"/>
          <w:szCs w:val="24"/>
        </w:rPr>
        <w:t>6.Лебедев В.И., Каминский Ю.Д., Самданчап Т.Х.</w:t>
      </w:r>
      <w:r>
        <w:rPr>
          <w:rFonts w:cs="Times New Roman" w:ascii="Times New Roman" w:hAnsi="Times New Roman"/>
          <w:i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(1998) Новые процессы извлечения полезных компонентов из руд и технологии глубокой переработки горнорудного и техногенное сырья Тувы и Монголии с использованием нетрадиционных методов обогащения руд и техногенных отходов, содержащих благородные и редкие металлы // Состояние и освоение природных ресурсов Тувы и сопредельных регионов Центральной Азии, геоэкология природной среды и общества / Отв. ред. докт. геол.-мин. наук В.И. Лебедев . Кызыл: Изд-во ТувИКОПР СО РАН, 14–20.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</w:rPr>
        <w:t xml:space="preserve">7. </w:t>
      </w:r>
      <w:r>
        <w:rPr>
          <w:rFonts w:cs="Times New Roman" w:ascii="Times New Roman" w:hAnsi="Times New Roman"/>
          <w:iCs/>
          <w:sz w:val="24"/>
          <w:szCs w:val="24"/>
        </w:rPr>
        <w:t>Спиридонов Э.М.</w:t>
      </w:r>
      <w:r>
        <w:rPr>
          <w:rFonts w:cs="Times New Roman" w:ascii="Times New Roman" w:hAnsi="Times New Roman"/>
          <w:sz w:val="24"/>
          <w:szCs w:val="24"/>
        </w:rPr>
        <w:t xml:space="preserve"> (2010) Обзор минералогии золота в ведущих типах Au минерализации // Золото Кольского полуострова и сопредельных регионов: Труды Всероссийской (с международным участием) научной конференции, посвящённой 80-летию Кольского НЦ РАН. Апатиты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, 26–29 </w:t>
      </w:r>
      <w:r>
        <w:rPr>
          <w:rFonts w:cs="Times New Roman" w:ascii="Times New Roman" w:hAnsi="Times New Roman"/>
          <w:sz w:val="24"/>
          <w:szCs w:val="24"/>
        </w:rPr>
        <w:t>сентября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2010.  </w:t>
      </w:r>
      <w:r>
        <w:rPr>
          <w:rFonts w:cs="Times New Roman" w:ascii="Times New Roman" w:hAnsi="Times New Roman"/>
          <w:sz w:val="24"/>
          <w:szCs w:val="24"/>
        </w:rPr>
        <w:t>Апатиты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: </w:t>
      </w:r>
      <w:r>
        <w:rPr>
          <w:rFonts w:cs="Times New Roman" w:ascii="Times New Roman" w:hAnsi="Times New Roman"/>
          <w:sz w:val="24"/>
          <w:szCs w:val="24"/>
        </w:rPr>
        <w:t>Изд</w:t>
      </w:r>
      <w:r>
        <w:rPr>
          <w:rFonts w:cs="Times New Roman" w:ascii="Times New Roman" w:hAnsi="Times New Roman"/>
          <w:sz w:val="24"/>
          <w:szCs w:val="24"/>
          <w:lang w:val="en-US"/>
        </w:rPr>
        <w:t>-</w:t>
      </w:r>
      <w:r>
        <w:rPr>
          <w:rFonts w:cs="Times New Roman" w:ascii="Times New Roman" w:hAnsi="Times New Roman"/>
          <w:sz w:val="24"/>
          <w:szCs w:val="24"/>
        </w:rPr>
        <w:t>во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K&amp;M, 143–171.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Сафина Н.П., Новоселов К.А. (2013) Микроскопические методы в исследовании руд: учебное пособие. Челябинск: Изд-во центр ЮУрГУ, 168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Сафина Н.П., Новоселов К.А. (2013) Микроскопические методы в исследовании руд: учебное пособие. Челябинск: Изд-во центр ЮУрГУ, 168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 Юминов, А.М. Термобарогеохимические исследования минералов: учебное пособие /А.М. Юминов. – Челябинск: Изд-во. ЮУрГУ, 2008. – 42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11. Юминов А.М. Термобарогеохимические исследования минералов: учебное пособие /А.М. Юминов. – Челябинск: Изд-во. ЮУрГУ, 2008. – 42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12. </w:t>
      </w:r>
      <w:r>
        <w:rPr>
          <w:rFonts w:cs="Times New Roman" w:ascii="Times New Roman" w:hAnsi="Times New Roman"/>
          <w:iCs/>
          <w:sz w:val="24"/>
          <w:szCs w:val="24"/>
          <w:lang w:val="en-US"/>
        </w:rPr>
        <w:t>Bodnar R.J., Vityk M.O.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(1994) Interpretation of microthermometric data for H</w:t>
      </w:r>
      <w:r>
        <w:rPr>
          <w:rFonts w:cs="Times New Roman"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cs="Times New Roman" w:ascii="Times New Roman" w:hAnsi="Times New Roman"/>
          <w:sz w:val="24"/>
          <w:szCs w:val="24"/>
          <w:lang w:val="en-US"/>
        </w:rPr>
        <w:t>O–NaCl fluid inclusions // Fluid inclusions in minerals: methods and applications. Pontignana</w:t>
      </w:r>
      <w:r>
        <w:rPr>
          <w:rFonts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  <w:lang w:val="en-US"/>
        </w:rPr>
        <w:t>Siena</w:t>
      </w:r>
      <w:r>
        <w:rPr>
          <w:rFonts w:cs="Times New Roman" w:ascii="Times New Roman" w:hAnsi="Times New Roman"/>
          <w:sz w:val="24"/>
          <w:szCs w:val="24"/>
        </w:rPr>
        <w:t>, 117–130.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cs="Times New Roman" w:ascii="Times New Roman" w:hAnsi="Times New Roman"/>
          <w:bCs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Cs/>
          <w:i/>
          <w:sz w:val="24"/>
          <w:szCs w:val="24"/>
        </w:rPr>
        <w:t>Фондовая литература</w:t>
      </w:r>
    </w:p>
    <w:p>
      <w:pPr>
        <w:pStyle w:val="ListNumber3"/>
        <w:numPr>
          <w:ilvl w:val="0"/>
          <w:numId w:val="0"/>
        </w:numPr>
        <w:spacing w:lineRule="auto" w:line="240"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 xml:space="preserve">1. </w:t>
      </w:r>
      <w:bookmarkStart w:id="6" w:name="Вамбольт2010"/>
      <w:bookmarkStart w:id="7" w:name="_Ref372645774"/>
      <w:r>
        <w:rPr>
          <w:rFonts w:cs="Times New Roman" w:ascii="Times New Roman" w:hAnsi="Times New Roman"/>
        </w:rPr>
        <w:t>Вамбольдт</w:t>
      </w:r>
      <w:r>
        <w:rPr>
          <w:rFonts w:cs="Times New Roman" w:ascii="Times New Roman" w:hAnsi="Times New Roman"/>
          <w:lang w:val="en-US"/>
        </w:rPr>
        <w:t> </w:t>
      </w:r>
      <w:bookmarkEnd w:id="6"/>
      <w:bookmarkEnd w:id="7"/>
      <w:r>
        <w:rPr>
          <w:rFonts w:cs="Times New Roman" w:ascii="Times New Roman" w:hAnsi="Times New Roman"/>
        </w:rPr>
        <w:t>Л.А. Геологоразведочные работы на рудопроявлении Копто. Кызыл, ООО «Тардан Голд», 2010.</w:t>
      </w:r>
    </w:p>
    <w:p>
      <w:pPr>
        <w:pStyle w:val="ListNumber3"/>
        <w:numPr>
          <w:ilvl w:val="0"/>
          <w:numId w:val="0"/>
        </w:numPr>
        <w:spacing w:lineRule="auto" w:line="240"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 xml:space="preserve">2. </w:t>
      </w:r>
      <w:bookmarkStart w:id="8" w:name="_Ref212693484"/>
      <w:bookmarkEnd w:id="8"/>
      <w:r>
        <w:rPr>
          <w:rFonts w:cs="Times New Roman" w:ascii="Times New Roman" w:hAnsi="Times New Roman"/>
        </w:rPr>
        <w:t>Гордеев З.Н. Геологический отчет Бай-Сютской поисковой партии по поискам в районе Бай-Сют – Тапса – Дерзик за 1944, ТКГЭ, 1944.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 </w:t>
      </w:r>
      <w:r>
        <w:rPr>
          <w:rFonts w:cs="Times New Roman" w:ascii="Times New Roman" w:hAnsi="Times New Roman"/>
          <w:iCs/>
          <w:sz w:val="24"/>
          <w:szCs w:val="24"/>
        </w:rPr>
        <w:t>Кильчичаков К.М., Копылова Л.В., Плеханов А.М.</w:t>
      </w:r>
      <w:r>
        <w:rPr>
          <w:rFonts w:cs="Times New Roman" w:ascii="Times New Roman" w:hAnsi="Times New Roman"/>
          <w:sz w:val="24"/>
          <w:szCs w:val="24"/>
        </w:rPr>
        <w:t xml:space="preserve"> (1967) Результаты оценки Тарданского золоторудного м-ния и поисков золота в басс. р. Бай-Сют. Кызыл, 122 с.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</w:t>
      </w:r>
      <w:r>
        <w:rPr>
          <w:rFonts w:cs="Times New Roman" w:ascii="Times New Roman" w:hAnsi="Times New Roman"/>
          <w:iCs/>
          <w:sz w:val="24"/>
          <w:szCs w:val="24"/>
        </w:rPr>
        <w:t>Кильчичаков К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iCs/>
          <w:sz w:val="24"/>
          <w:szCs w:val="24"/>
        </w:rPr>
        <w:t>М</w:t>
      </w:r>
      <w:r>
        <w:rPr>
          <w:rFonts w:cs="Times New Roman" w:ascii="Times New Roman" w:hAnsi="Times New Roman"/>
          <w:sz w:val="24"/>
          <w:szCs w:val="24"/>
        </w:rPr>
        <w:t xml:space="preserve">., </w:t>
      </w:r>
      <w:r>
        <w:rPr>
          <w:rFonts w:cs="Times New Roman" w:ascii="Times New Roman" w:hAnsi="Times New Roman"/>
          <w:iCs/>
          <w:sz w:val="24"/>
          <w:szCs w:val="24"/>
        </w:rPr>
        <w:t>Плеханов А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iCs/>
          <w:sz w:val="24"/>
          <w:szCs w:val="24"/>
        </w:rPr>
        <w:t>М</w:t>
      </w:r>
      <w:r>
        <w:rPr>
          <w:rFonts w:cs="Times New Roman" w:ascii="Times New Roman" w:hAnsi="Times New Roman"/>
          <w:sz w:val="24"/>
          <w:szCs w:val="24"/>
        </w:rPr>
        <w:t xml:space="preserve">., </w:t>
      </w:r>
      <w:r>
        <w:rPr>
          <w:rFonts w:cs="Times New Roman" w:ascii="Times New Roman" w:hAnsi="Times New Roman"/>
          <w:iCs/>
          <w:sz w:val="24"/>
          <w:szCs w:val="24"/>
        </w:rPr>
        <w:t>Кацапов А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iCs/>
          <w:sz w:val="24"/>
          <w:szCs w:val="24"/>
        </w:rPr>
        <w:t>Н</w:t>
      </w:r>
      <w:r>
        <w:rPr>
          <w:rFonts w:cs="Times New Roman" w:ascii="Times New Roman" w:hAnsi="Times New Roman"/>
          <w:sz w:val="24"/>
          <w:szCs w:val="24"/>
        </w:rPr>
        <w:t>. (1977) Результаты поисково-оценочных работ на рудное золото в районе Тарданского месторождения. Кызыл, 139 с.</w:t>
      </w:r>
    </w:p>
    <w:p>
      <w:pPr>
        <w:pStyle w:val="ListNumber3"/>
        <w:numPr>
          <w:ilvl w:val="0"/>
          <w:numId w:val="0"/>
        </w:numPr>
        <w:spacing w:lineRule="auto" w:line="240"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 xml:space="preserve">5. </w:t>
      </w:r>
      <w:r>
        <w:rPr>
          <w:rFonts w:cs="Times New Roman" w:ascii="Times New Roman" w:hAnsi="Times New Roman"/>
        </w:rPr>
        <w:t>Кальная О.И. Отчет Гидрогеологической партии ГУП «Тувинская ГРЭ» Комплексная гидрогеологическая и инженерно-геологическая съемка масштаба 1:200000 листа M-46-VI (Сарыг-Сеп). Кызыл, Тывинский филиал ФБУ «ТФГИ по СФО», 2002 г.</w:t>
      </w:r>
    </w:p>
    <w:p>
      <w:pPr>
        <w:pStyle w:val="ListNumber3"/>
        <w:numPr>
          <w:ilvl w:val="0"/>
          <w:numId w:val="0"/>
        </w:numPr>
        <w:tabs>
          <w:tab w:val="left" w:pos="177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 </w:t>
      </w:r>
      <w:bookmarkStart w:id="9" w:name="_Ref212790123"/>
      <w:r>
        <w:rPr>
          <w:rFonts w:cs="Times New Roman" w:ascii="Times New Roman" w:hAnsi="Times New Roman"/>
          <w:sz w:val="24"/>
          <w:szCs w:val="24"/>
        </w:rPr>
        <w:t>Коробейников А.Ф., Мацюшевский А.В., Мацюшевская Л.Б. Минералогия и геология Тарданского золоторудного поля, Томск, Тывинский филиал ФБУ «ТФГИ по СФО», 1970.</w:t>
      </w:r>
      <w:bookmarkEnd w:id="9"/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ListNumber3"/>
        <w:numPr>
          <w:ilvl w:val="0"/>
          <w:numId w:val="0"/>
        </w:numPr>
        <w:tabs>
          <w:tab w:val="left" w:pos="177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Кильчичаков К.</w:t>
      </w:r>
      <w:r>
        <w:rPr>
          <w:rFonts w:cs="Times New Roman" w:ascii="Times New Roman" w:hAnsi="Times New Roman"/>
          <w:sz w:val="24"/>
          <w:szCs w:val="24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</w:rPr>
        <w:t>М., Кацапов А.Н., Секретарёв М.Н. Результаты поисково-оценочных работ на Тарданском месторождении золота за 1977-1979 гг. Протокол 356. Т.1 -3. Тывинский филиал ФБУ «ТФГИ по СФО», 1980.</w:t>
      </w:r>
    </w:p>
    <w:p>
      <w:pPr>
        <w:pStyle w:val="ListNumber3"/>
        <w:numPr>
          <w:ilvl w:val="0"/>
          <w:numId w:val="0"/>
        </w:numPr>
        <w:tabs>
          <w:tab w:val="left" w:pos="177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 </w:t>
      </w:r>
      <w:bookmarkStart w:id="10" w:name="_Ref212693783"/>
      <w:bookmarkEnd w:id="10"/>
      <w:r>
        <w:rPr>
          <w:rFonts w:cs="Times New Roman" w:ascii="Times New Roman" w:hAnsi="Times New Roman"/>
          <w:sz w:val="24"/>
          <w:szCs w:val="24"/>
        </w:rPr>
        <w:t>Кильчичаков К.М., Копылова Л.В. Результаты предварительной разведки Тарданского золоторудного месторождения с подсчётом запасов по состоянию на 1.04.1971 г. Отчёт о геологоразведочных работах за 1967-1969 гг. Тывинский филиал ФБУ «ТФГИ по СФО», 1971.</w:t>
      </w:r>
    </w:p>
    <w:p>
      <w:pPr>
        <w:pStyle w:val="ListNumber3"/>
        <w:numPr>
          <w:ilvl w:val="0"/>
          <w:numId w:val="0"/>
        </w:numPr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Лукашев Г.Н., Евдокимов Ю.Б., Севельсюк Б.Ф. Геологическое строение и полезные ископаемые Тапса-Каа-Хемского междуречья: (Отчёт поисково-съёмочной партии № 12 за 1951 г., Тывинский филиал ФБУ «ТФГИ по СФО», 1952.</w:t>
      </w:r>
    </w:p>
    <w:p>
      <w:pPr>
        <w:pStyle w:val="ListNumber3"/>
        <w:numPr>
          <w:ilvl w:val="0"/>
          <w:numId w:val="0"/>
        </w:numPr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10. </w:t>
      </w:r>
      <w:bookmarkStart w:id="11" w:name="_Ref212693505"/>
      <w:bookmarkEnd w:id="11"/>
      <w:r>
        <w:rPr>
          <w:rFonts w:cs="Times New Roman" w:ascii="Times New Roman" w:hAnsi="Times New Roman"/>
          <w:sz w:val="24"/>
          <w:szCs w:val="24"/>
        </w:rPr>
        <w:t>Неймарк А.И. Объяснительтная записка к карте золотоносности Тувинской автономной области масштаба 1:500 000. ТКГЭ, 1961.</w:t>
      </w:r>
    </w:p>
    <w:p>
      <w:pPr>
        <w:pStyle w:val="ListNumber3"/>
        <w:numPr>
          <w:ilvl w:val="0"/>
          <w:numId w:val="0"/>
        </w:numPr>
        <w:tabs>
          <w:tab w:val="left" w:pos="177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11. </w:t>
      </w:r>
      <w:bookmarkStart w:id="12" w:name="_Ref212790157"/>
      <w:r>
        <w:rPr>
          <w:rFonts w:cs="Times New Roman" w:ascii="Times New Roman" w:hAnsi="Times New Roman"/>
          <w:sz w:val="24"/>
          <w:szCs w:val="24"/>
        </w:rPr>
        <w:t>Окунев Ю.В. Отчет по теме: Изучение закономерностей локализации золотооруденения, составление геологоструктурной и прогнозной карт по Тапсо-Коптинскому району (Тувинская АССР) за 1967-1969 гг.,Тывинский филиал ФБУ «ТФГИ по СФО»</w:t>
      </w:r>
      <w:bookmarkEnd w:id="12"/>
      <w:r>
        <w:rPr>
          <w:rFonts w:cs="Times New Roman" w:ascii="Times New Roman" w:hAnsi="Times New Roman"/>
          <w:sz w:val="24"/>
          <w:szCs w:val="24"/>
        </w:rPr>
        <w:t>, 1970.</w:t>
      </w:r>
    </w:p>
    <w:p>
      <w:pPr>
        <w:pStyle w:val="ListNumber3"/>
        <w:numPr>
          <w:ilvl w:val="0"/>
          <w:numId w:val="0"/>
        </w:numPr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12. </w:t>
      </w:r>
      <w:bookmarkStart w:id="13" w:name="_Ref212693535"/>
      <w:bookmarkEnd w:id="13"/>
      <w:r>
        <w:rPr>
          <w:rFonts w:cs="Times New Roman" w:ascii="Times New Roman" w:hAnsi="Times New Roman"/>
          <w:sz w:val="24"/>
          <w:szCs w:val="24"/>
        </w:rPr>
        <w:t>Тверянкин И.Г., Гуменюк В.А., Кузнецов Ю.В. и др. Геологическое строение и полезные ископаемые бассейнов рек Бурен, Бай-Сют, Копто в пределах листов М-46-11-В,Г. Окончательный отчёт Фёдоровской геолого-съёмочной партии по работам 1962-1964 гг. Т.1. Тывинский филиал ФБУ «ТФГИ по СФО», 1965.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sectPr>
      <w:headerReference w:type="default" r:id="rId39"/>
      <w:footerReference w:type="default" r:id="rId40"/>
      <w:type w:val="nextPage"/>
      <w:pgSz w:w="11906" w:h="16838"/>
      <w:pgMar w:left="1134" w:right="566" w:header="708" w:top="1134" w:footer="708" w:bottom="1134" w:gutter="0"/>
      <w:pgNumType w:start="5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ArcIndex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4145072"/>
    </w:sdtPr>
    <w:sdtContent>
      <w:p>
        <w:pPr>
          <w:pStyle w:val="Style23"/>
          <w:jc w:val="center"/>
          <w:rPr/>
        </w:pPr>
        <w:r>
          <w:rPr>
            <w:sz w:val="20"/>
          </w:rPr>
          <w:fldChar w:fldCharType="begin"/>
        </w:r>
        <w:r>
          <w:instrText> PAGE </w:instrText>
        </w:r>
        <w:r>
          <w:fldChar w:fldCharType="separate"/>
        </w:r>
        <w:r>
          <w:t>29</w:t>
        </w:r>
        <w:r>
          <w:fldChar w:fldCharType="end"/>
        </w:r>
      </w:p>
    </w:sdtContent>
  </w:sdt>
  <w:p>
    <w:pPr>
      <w:pStyle w:val="Style23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jc w:val="righ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>
      <w:start w:val="1"/>
      <w:pStyle w:val="2"/>
      <w:numFmt w:val="decimal"/>
      <w:lvlText w:val="%1.%2."/>
      <w:lvlJc w:val="left"/>
      <w:pPr>
        <w:ind w:left="0" w:hanging="-709"/>
      </w:pPr>
    </w:lvl>
    <w:lvl w:ilvl="2">
      <w:start w:val="1"/>
      <w:pStyle w:val="3"/>
      <w:numFmt w:val="decimal"/>
      <w:lvlText w:val="%1.%2.%3."/>
      <w:lvlJc w:val="left"/>
      <w:pPr>
        <w:ind w:left="709" w:hanging="0"/>
      </w:pPr>
    </w:lvl>
    <w:lvl w:ilvl="3">
      <w:start w:val="1"/>
      <w:pStyle w:val="4"/>
      <w:numFmt w:val="decimal"/>
      <w:lvlText w:val="%1.%2.%3.%4."/>
      <w:lvlJc w:val="left"/>
      <w:pPr>
        <w:ind w:left="709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76dc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2b73a7"/>
    <w:pPr>
      <w:pageBreakBefore/>
      <w:numPr>
        <w:ilvl w:val="0"/>
        <w:numId w:val="1"/>
      </w:numPr>
      <w:suppressAutoHyphens w:val="true"/>
      <w:spacing w:lineRule="auto" w:line="240" w:before="0" w:after="120"/>
      <w:ind w:right="851" w:hanging="0"/>
      <w:jc w:val="center"/>
      <w:outlineLvl w:val="0"/>
    </w:pPr>
    <w:rPr>
      <w:rFonts w:ascii="Times New Roman" w:hAnsi="Times New Roman" w:eastAsia="Times New Roman" w:cs="Times New Roman"/>
      <w:caps/>
      <w:kern w:val="2"/>
      <w:sz w:val="28"/>
      <w:szCs w:val="20"/>
      <w:lang w:eastAsia="ru-RU"/>
    </w:rPr>
  </w:style>
  <w:style w:type="paragraph" w:styleId="2">
    <w:name w:val="Heading 2"/>
    <w:basedOn w:val="1"/>
    <w:link w:val="21"/>
    <w:uiPriority w:val="9"/>
    <w:qFormat/>
    <w:rsid w:val="002b73a7"/>
    <w:pPr>
      <w:keepNext w:val="true"/>
      <w:pageBreakBefore w:val="false"/>
      <w:numPr>
        <w:ilvl w:val="1"/>
        <w:numId w:val="1"/>
      </w:numPr>
      <w:spacing w:before="240" w:after="120"/>
      <w:outlineLvl w:val="1"/>
    </w:pPr>
    <w:rPr>
      <w:caps w:val="false"/>
      <w:smallCaps w:val="false"/>
    </w:rPr>
  </w:style>
  <w:style w:type="paragraph" w:styleId="3">
    <w:name w:val="Heading 3"/>
    <w:basedOn w:val="1"/>
    <w:link w:val="31"/>
    <w:uiPriority w:val="9"/>
    <w:qFormat/>
    <w:rsid w:val="002b73a7"/>
    <w:pPr>
      <w:pageBreakBefore w:val="false"/>
      <w:numPr>
        <w:ilvl w:val="2"/>
        <w:numId w:val="1"/>
      </w:numPr>
      <w:spacing w:before="120" w:after="120"/>
      <w:jc w:val="left"/>
      <w:outlineLvl w:val="2"/>
    </w:pPr>
    <w:rPr>
      <w:caps w:val="false"/>
      <w:smallCaps w:val="false"/>
    </w:rPr>
  </w:style>
  <w:style w:type="paragraph" w:styleId="4">
    <w:name w:val="Heading 4"/>
    <w:basedOn w:val="1"/>
    <w:link w:val="40"/>
    <w:uiPriority w:val="9"/>
    <w:qFormat/>
    <w:rsid w:val="002b73a7"/>
    <w:pPr>
      <w:pageBreakBefore w:val="false"/>
      <w:numPr>
        <w:ilvl w:val="3"/>
        <w:numId w:val="1"/>
      </w:numPr>
      <w:spacing w:before="120" w:after="120"/>
      <w:jc w:val="left"/>
      <w:outlineLvl w:val="3"/>
    </w:pPr>
    <w:rPr>
      <w:caps w:val="false"/>
      <w:smallCaps w:val="fals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Основной текст с отступом Знак"/>
    <w:basedOn w:val="DefaultParagraphFont"/>
    <w:link w:val="a3"/>
    <w:qFormat/>
    <w:rsid w:val="003a444d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1" w:customStyle="1">
    <w:name w:val="Текст выноски Знак"/>
    <w:basedOn w:val="DefaultParagraphFont"/>
    <w:link w:val="a5"/>
    <w:uiPriority w:val="99"/>
    <w:semiHidden/>
    <w:qFormat/>
    <w:rsid w:val="003a444d"/>
    <w:rPr>
      <w:rFonts w:ascii="Tahoma" w:hAnsi="Tahoma" w:cs="Tahoma"/>
      <w:sz w:val="16"/>
      <w:szCs w:val="16"/>
    </w:rPr>
  </w:style>
  <w:style w:type="character" w:styleId="5" w:customStyle="1">
    <w:name w:val="Стиль5 Знак"/>
    <w:basedOn w:val="DefaultParagraphFont"/>
    <w:link w:val="5"/>
    <w:qFormat/>
    <w:rsid w:val="003a444d"/>
    <w:rPr>
      <w:rFonts w:ascii="Times New Roman" w:hAnsi="Times New Roman" w:eastAsia="Times New Roman" w:cs="Times New Roman"/>
      <w:kern w:val="2"/>
      <w:sz w:val="28"/>
      <w:szCs w:val="20"/>
      <w:lang w:eastAsia="ru-RU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2b73a7"/>
    <w:rPr>
      <w:rFonts w:ascii="Times New Roman" w:hAnsi="Times New Roman" w:eastAsia="Times New Roman" w:cs="Times New Roman"/>
      <w:caps/>
      <w:kern w:val="2"/>
      <w:sz w:val="28"/>
      <w:szCs w:val="20"/>
      <w:lang w:eastAsia="ru-RU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2b73a7"/>
    <w:rPr>
      <w:rFonts w:ascii="Times New Roman" w:hAnsi="Times New Roman" w:eastAsia="Times New Roman" w:cs="Times New Roman"/>
      <w:kern w:val="2"/>
      <w:sz w:val="28"/>
      <w:szCs w:val="20"/>
      <w:lang w:eastAsia="ru-RU"/>
    </w:rPr>
  </w:style>
  <w:style w:type="character" w:styleId="31" w:customStyle="1">
    <w:name w:val="Заголовок 3 Знак"/>
    <w:basedOn w:val="DefaultParagraphFont"/>
    <w:link w:val="30"/>
    <w:uiPriority w:val="9"/>
    <w:qFormat/>
    <w:rsid w:val="002b73a7"/>
    <w:rPr>
      <w:rFonts w:ascii="Times New Roman" w:hAnsi="Times New Roman" w:eastAsia="Times New Roman" w:cs="Times New Roman"/>
      <w:kern w:val="2"/>
      <w:sz w:val="28"/>
      <w:szCs w:val="20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2b73a7"/>
    <w:rPr>
      <w:rFonts w:ascii="Times New Roman" w:hAnsi="Times New Roman" w:eastAsia="Times New Roman" w:cs="Times New Roman"/>
      <w:kern w:val="2"/>
      <w:sz w:val="28"/>
      <w:szCs w:val="20"/>
      <w:lang w:eastAsia="ru-RU"/>
    </w:rPr>
  </w:style>
  <w:style w:type="character" w:styleId="Style12" w:customStyle="1">
    <w:name w:val="Верхний колонтитул Знак"/>
    <w:basedOn w:val="DefaultParagraphFont"/>
    <w:link w:val="a8"/>
    <w:uiPriority w:val="99"/>
    <w:qFormat/>
    <w:rsid w:val="002b73a7"/>
    <w:rPr>
      <w:rFonts w:ascii="Times New Roman" w:hAnsi="Times New Roman" w:eastAsia="Times New Roman" w:cs="Times New Roman"/>
      <w:color w:val="000000"/>
      <w:kern w:val="2"/>
      <w:sz w:val="28"/>
      <w:szCs w:val="20"/>
      <w:lang w:eastAsia="ru-RU"/>
    </w:rPr>
  </w:style>
  <w:style w:type="character" w:styleId="Style13" w:customStyle="1">
    <w:name w:val="Нижний колонтитул Знак"/>
    <w:basedOn w:val="DefaultParagraphFont"/>
    <w:link w:val="aa"/>
    <w:uiPriority w:val="99"/>
    <w:qFormat/>
    <w:rsid w:val="002b73a7"/>
    <w:rPr>
      <w:rFonts w:ascii="Times New Roman" w:hAnsi="Times New Roman" w:eastAsia="Times New Roman" w:cs="Times New Roman"/>
      <w:color w:val="000000"/>
      <w:kern w:val="2"/>
      <w:sz w:val="12"/>
      <w:szCs w:val="20"/>
      <w:lang w:eastAsia="ru-RU"/>
    </w:rPr>
  </w:style>
  <w:style w:type="character" w:styleId="Style14" w:customStyle="1">
    <w:name w:val="ИндексГеологический"/>
    <w:qFormat/>
    <w:rsid w:val="002b73a7"/>
    <w:rPr>
      <w:rFonts w:ascii="ArcIndex" w:hAnsi="ArcIndex"/>
      <w:kern w:val="2"/>
      <w:sz w:val="24"/>
    </w:rPr>
  </w:style>
  <w:style w:type="character" w:styleId="Strong">
    <w:name w:val="Strong"/>
    <w:uiPriority w:val="22"/>
    <w:qFormat/>
    <w:rsid w:val="002b73a7"/>
    <w:rPr>
      <w:b/>
      <w:bCs/>
    </w:rPr>
  </w:style>
  <w:style w:type="character" w:styleId="6" w:customStyle="1">
    <w:name w:val="Стиль6 Знак"/>
    <w:basedOn w:val="DefaultParagraphFont"/>
    <w:link w:val="6"/>
    <w:qFormat/>
    <w:rsid w:val="007114f2"/>
    <w:rPr>
      <w:rFonts w:ascii="Times New Roman" w:hAnsi="Times New Roman" w:eastAsia="Times New Roman" w:cs="Times New Roman"/>
      <w:kern w:val="2"/>
      <w:sz w:val="28"/>
      <w:szCs w:val="20"/>
      <w:lang w:eastAsia="ru-RU"/>
    </w:rPr>
  </w:style>
  <w:style w:type="character" w:styleId="Style15" w:customStyle="1">
    <w:name w:val="Основной текст Знак"/>
    <w:basedOn w:val="DefaultParagraphFont"/>
    <w:link w:val="ae"/>
    <w:uiPriority w:val="99"/>
    <w:semiHidden/>
    <w:qFormat/>
    <w:rsid w:val="003571c8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link w:val="af"/>
    <w:uiPriority w:val="99"/>
    <w:semiHidden/>
    <w:unhideWhenUsed/>
    <w:rsid w:val="003571c8"/>
    <w:pPr>
      <w:spacing w:before="0" w:after="12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Body Text Indent"/>
    <w:basedOn w:val="Normal"/>
    <w:link w:val="a4"/>
    <w:rsid w:val="003a444d"/>
    <w:pPr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3a444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51" w:customStyle="1">
    <w:name w:val="Стиль5"/>
    <w:basedOn w:val="Caption"/>
    <w:link w:val="50"/>
    <w:qFormat/>
    <w:rsid w:val="003a444d"/>
    <w:pPr>
      <w:tabs>
        <w:tab w:val="left" w:pos="7938" w:leader="none"/>
      </w:tabs>
      <w:suppressAutoHyphens w:val="true"/>
      <w:spacing w:before="120" w:after="120"/>
      <w:jc w:val="center"/>
      <w:outlineLvl w:val="5"/>
    </w:pPr>
    <w:rPr>
      <w:rFonts w:ascii="Times New Roman" w:hAnsi="Times New Roman" w:eastAsia="Times New Roman" w:cs="Times New Roman"/>
      <w:b w:val="false"/>
      <w:bCs w:val="false"/>
      <w:color w:val="00000A"/>
      <w:kern w:val="2"/>
      <w:sz w:val="28"/>
      <w:szCs w:val="20"/>
      <w:lang w:eastAsia="ru-RU"/>
    </w:rPr>
  </w:style>
  <w:style w:type="paragraph" w:styleId="Caption">
    <w:name w:val="caption"/>
    <w:basedOn w:val="Normal"/>
    <w:uiPriority w:val="35"/>
    <w:semiHidden/>
    <w:unhideWhenUsed/>
    <w:qFormat/>
    <w:rsid w:val="003a444d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Style22">
    <w:name w:val="Header"/>
    <w:basedOn w:val="Normal"/>
    <w:link w:val="a9"/>
    <w:uiPriority w:val="99"/>
    <w:rsid w:val="002b73a7"/>
    <w:pPr>
      <w:tabs>
        <w:tab w:val="center" w:pos="4677" w:leader="none"/>
        <w:tab w:val="right" w:pos="9355" w:leader="none"/>
      </w:tabs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color w:val="000000"/>
      <w:kern w:val="2"/>
      <w:sz w:val="28"/>
      <w:szCs w:val="20"/>
      <w:lang w:eastAsia="ru-RU"/>
    </w:rPr>
  </w:style>
  <w:style w:type="paragraph" w:styleId="Style23">
    <w:name w:val="Footer"/>
    <w:basedOn w:val="Normal"/>
    <w:link w:val="ab"/>
    <w:uiPriority w:val="99"/>
    <w:rsid w:val="002b73a7"/>
    <w:pPr>
      <w:tabs>
        <w:tab w:val="center" w:pos="4153" w:leader="none"/>
        <w:tab w:val="right" w:pos="8306" w:leader="none"/>
      </w:tabs>
      <w:spacing w:lineRule="auto" w:line="240" w:before="0" w:after="0"/>
      <w:jc w:val="right"/>
    </w:pPr>
    <w:rPr>
      <w:rFonts w:ascii="Times New Roman" w:hAnsi="Times New Roman" w:eastAsia="Times New Roman" w:cs="Times New Roman"/>
      <w:color w:val="000000"/>
      <w:kern w:val="2"/>
      <w:sz w:val="12"/>
      <w:szCs w:val="20"/>
      <w:lang w:eastAsia="ru-RU"/>
    </w:rPr>
  </w:style>
  <w:style w:type="paragraph" w:styleId="22">
    <w:name w:val="List Bullet 3"/>
    <w:basedOn w:val="Normal"/>
    <w:uiPriority w:val="99"/>
    <w:rsid w:val="007114f2"/>
    <w:pPr>
      <w:spacing w:lineRule="auto" w:line="240" w:before="0" w:after="0"/>
      <w:jc w:val="right"/>
    </w:pPr>
    <w:rPr>
      <w:rFonts w:ascii="Times New Roman" w:hAnsi="Times New Roman" w:eastAsia="Times New Roman" w:cs="Times New Roman"/>
      <w:color w:val="000000"/>
      <w:kern w:val="2"/>
      <w:sz w:val="28"/>
      <w:szCs w:val="20"/>
      <w:lang w:eastAsia="ru-RU"/>
    </w:rPr>
  </w:style>
  <w:style w:type="paragraph" w:styleId="61" w:customStyle="1">
    <w:name w:val="Стиль6"/>
    <w:basedOn w:val="Caption"/>
    <w:link w:val="60"/>
    <w:qFormat/>
    <w:rsid w:val="007114f2"/>
    <w:pPr>
      <w:keepNext w:val="true"/>
      <w:tabs>
        <w:tab w:val="left" w:pos="7655" w:leader="none"/>
      </w:tabs>
      <w:suppressAutoHyphens w:val="true"/>
      <w:spacing w:before="120" w:after="120"/>
      <w:jc w:val="center"/>
      <w:outlineLvl w:val="5"/>
    </w:pPr>
    <w:rPr>
      <w:rFonts w:ascii="Times New Roman" w:hAnsi="Times New Roman" w:eastAsia="Times New Roman" w:cs="Times New Roman"/>
      <w:b w:val="false"/>
      <w:bCs w:val="false"/>
      <w:color w:val="00000A"/>
      <w:kern w:val="2"/>
      <w:sz w:val="28"/>
      <w:szCs w:val="20"/>
      <w:lang w:eastAsia="ru-RU"/>
    </w:rPr>
  </w:style>
  <w:style w:type="paragraph" w:styleId="Style24" w:customStyle="1">
    <w:name w:val="Содержимое таблицы"/>
    <w:basedOn w:val="Normal"/>
    <w:qFormat/>
    <w:rsid w:val="00bd10d0"/>
    <w:pPr>
      <w:suppressLineNumbers/>
      <w:suppressAutoHyphens w:val="true"/>
      <w:spacing w:lineRule="auto" w:line="240" w:before="0" w:after="0"/>
    </w:pPr>
    <w:rPr>
      <w:rFonts w:ascii="Liberation Serif" w:hAnsi="Liberation Serif" w:eastAsia="SimSun" w:cs="Arial"/>
      <w:kern w:val="2"/>
      <w:sz w:val="24"/>
      <w:szCs w:val="24"/>
      <w:lang w:eastAsia="zh-CN" w:bidi="hi-IN"/>
    </w:rPr>
  </w:style>
  <w:style w:type="paragraph" w:styleId="Refas" w:customStyle="1">
    <w:name w:val="Основной текст с отступом.Refas"/>
    <w:basedOn w:val="Normal"/>
    <w:qFormat/>
    <w:rsid w:val="00ba772a"/>
    <w:pPr>
      <w:spacing w:lineRule="auto" w:line="240" w:before="0" w:after="0"/>
      <w:ind w:firstLine="851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NormalWeb">
    <w:name w:val="Normal (Web)"/>
    <w:basedOn w:val="Normal"/>
    <w:uiPriority w:val="99"/>
    <w:semiHidden/>
    <w:unhideWhenUsed/>
    <w:qFormat/>
    <w:rsid w:val="00d67d3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2353d7"/>
    <w:pPr>
      <w:spacing w:before="0" w:after="200"/>
      <w:ind w:left="720" w:hanging="0"/>
      <w:contextualSpacing/>
    </w:pPr>
    <w:rPr/>
  </w:style>
  <w:style w:type="paragraph" w:styleId="ListNumber3">
    <w:name w:val="List Number 3"/>
    <w:basedOn w:val="Normal"/>
    <w:uiPriority w:val="99"/>
    <w:semiHidden/>
    <w:unhideWhenUsed/>
    <w:qFormat/>
    <w:rsid w:val="00127f9e"/>
    <w:pPr>
      <w:spacing w:before="0" w:after="200"/>
      <w:contextualSpacing/>
    </w:pPr>
    <w:rPr/>
  </w:style>
  <w:style w:type="paragraph" w:styleId="Style25">
    <w:name w:val="Содержимое врезки"/>
    <w:basedOn w:val="Normal"/>
    <w:qFormat/>
    <w:pPr/>
    <w:rPr/>
  </w:style>
  <w:style w:type="paragraph" w:styleId="Style26">
    <w:name w:val="Обычный"/>
    <w:qFormat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36"/>
      <w:szCs w:val="24"/>
      <w:u w:val="none"/>
      <w:em w:val="none"/>
      <w:lang w:val="ru-RU" w:eastAsia="en-US" w:bidi="ar-SA"/>
    </w:rPr>
  </w:style>
  <w:style w:type="paragraph" w:styleId="Style27">
    <w:name w:val="Объект со стрелкой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Style28">
    <w:name w:val="Объект с тенью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Style29">
    <w:name w:val="Объект без заливки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Style30">
    <w:name w:val="Объект без заливки и линий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Style31">
    <w:name w:val="Выравнивание текста по ширине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12">
    <w:name w:val="Название 1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center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23">
    <w:name w:val="Название 2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57" w:after="57"/>
      <w:ind w:left="0" w:right="113" w:hanging="0"/>
      <w:jc w:val="center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Style32">
    <w:name w:val="Размерная линия"/>
    <w:basedOn w:val="Style26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LTGliederung1">
    <w:name w:val="Обычный~LT~Gliederung 1"/>
    <w:qFormat/>
    <w:pPr>
      <w:widowControl/>
      <w:tabs>
        <w:tab w:val="left" w:pos="900" w:leader="none"/>
        <w:tab w:val="left" w:pos="2340" w:leader="none"/>
        <w:tab w:val="left" w:pos="3780" w:leader="none"/>
        <w:tab w:val="left" w:pos="5220" w:leader="none"/>
        <w:tab w:val="left" w:pos="6660" w:leader="none"/>
        <w:tab w:val="left" w:pos="8100" w:leader="none"/>
        <w:tab w:val="left" w:pos="9540" w:leader="none"/>
        <w:tab w:val="left" w:pos="10980" w:leader="none"/>
        <w:tab w:val="left" w:pos="12420" w:leader="none"/>
        <w:tab w:val="left" w:pos="13860" w:leader="none"/>
        <w:tab w:val="left" w:pos="15300" w:leader="none"/>
      </w:tabs>
      <w:bidi w:val="0"/>
      <w:spacing w:lineRule="auto" w:line="240" w:before="160" w:after="0"/>
      <w:ind w:left="0" w:right="0" w:hanging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en-US" w:bidi="ar-SA"/>
    </w:rPr>
  </w:style>
  <w:style w:type="paragraph" w:styleId="LTGliederung2">
    <w:name w:val="Обычный~LT~Gliederung 2"/>
    <w:basedOn w:val="LTGliederung1"/>
    <w:qFormat/>
    <w:pPr>
      <w:tabs>
        <w:tab w:val="left" w:pos="270" w:leader="none"/>
        <w:tab w:val="left" w:pos="1710" w:leader="none"/>
        <w:tab w:val="left" w:pos="3150" w:leader="none"/>
        <w:tab w:val="left" w:pos="4590" w:leader="none"/>
        <w:tab w:val="left" w:pos="6030" w:leader="none"/>
        <w:tab w:val="left" w:pos="7470" w:leader="none"/>
        <w:tab w:val="left" w:pos="8910" w:leader="none"/>
        <w:tab w:val="left" w:pos="10350" w:leader="none"/>
        <w:tab w:val="left" w:pos="11790" w:leader="none"/>
        <w:tab w:val="left" w:pos="13230" w:leader="none"/>
        <w:tab w:val="left" w:pos="14670" w:leader="none"/>
      </w:tabs>
      <w:bidi w:val="0"/>
      <w:spacing w:lineRule="auto" w:line="240" w:before="139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LTGliederung3">
    <w:name w:val="Обычный~LT~Gliederung 3"/>
    <w:basedOn w:val="LTGliederung2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  <w:tab w:val="left" w:pos="14040" w:leader="none"/>
      </w:tabs>
      <w:bidi w:val="0"/>
      <w:spacing w:lineRule="auto" w:line="240" w:before="12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LTGliederung4">
    <w:name w:val="Обычный~LT~Gliederung 4"/>
    <w:basedOn w:val="LTGliederung3"/>
    <w:qFormat/>
    <w:pPr>
      <w:tabs>
        <w:tab w:val="left" w:pos="360" w:leader="none"/>
        <w:tab w:val="left" w:pos="1800" w:leader="none"/>
        <w:tab w:val="left" w:pos="3240" w:leader="none"/>
        <w:tab w:val="left" w:pos="4680" w:leader="none"/>
        <w:tab w:val="left" w:pos="6120" w:leader="none"/>
        <w:tab w:val="left" w:pos="7560" w:leader="none"/>
        <w:tab w:val="left" w:pos="9000" w:leader="none"/>
        <w:tab w:val="left" w:pos="10440" w:leader="none"/>
        <w:tab w:val="left" w:pos="11880" w:leader="none"/>
        <w:tab w:val="left" w:pos="1332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5">
    <w:name w:val="Обычный~LT~Gliederung 5"/>
    <w:basedOn w:val="LTGliederung4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6">
    <w:name w:val="Обычный~LT~Gliederung 6"/>
    <w:basedOn w:val="LTGliederung5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7">
    <w:name w:val="Обычный~LT~Gliederung 7"/>
    <w:basedOn w:val="LTGliederung6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8">
    <w:name w:val="Обычный~LT~Gliederung 8"/>
    <w:basedOn w:val="LTGliederung7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9">
    <w:name w:val="Обычный~LT~Gliederung 9"/>
    <w:basedOn w:val="LTGliederung8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Titel">
    <w:name w:val="Обычный~LT~Titel"/>
    <w:qFormat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88"/>
      <w:szCs w:val="24"/>
      <w:u w:val="none"/>
      <w:em w:val="none"/>
      <w:lang w:val="ru-RU" w:eastAsia="en-US" w:bidi="ar-SA"/>
    </w:rPr>
  </w:style>
  <w:style w:type="paragraph" w:styleId="LTUntertitel">
    <w:name w:val="Обычный~LT~Untertitel"/>
    <w:qFormat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60" w:after="0"/>
      <w:ind w:left="0" w:right="0" w:hanging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en-US" w:bidi="ar-SA"/>
    </w:rPr>
  </w:style>
  <w:style w:type="paragraph" w:styleId="LTNotizen">
    <w:name w:val="Обычный~LT~Notizen"/>
    <w:qFormat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90" w:after="0"/>
      <w:ind w:left="0" w:right="0" w:hanging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24"/>
      <w:szCs w:val="24"/>
      <w:u w:val="none"/>
      <w:em w:val="none"/>
      <w:lang w:val="ru-RU" w:eastAsia="en-US" w:bidi="ar-SA"/>
    </w:rPr>
  </w:style>
  <w:style w:type="paragraph" w:styleId="LTHintergrundobjekte">
    <w:name w:val="Обычный~LT~Hintergrundobjekte"/>
    <w:qFormat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shadow w:val="false"/>
      <w:color w:val="000000"/>
      <w:kern w:val="0"/>
      <w:sz w:val="36"/>
      <w:szCs w:val="24"/>
      <w:u w:val="none"/>
      <w:lang w:val="ru-RU" w:eastAsia="en-US" w:bidi="ar-SA"/>
    </w:rPr>
  </w:style>
  <w:style w:type="paragraph" w:styleId="LTHintergrund">
    <w:name w:val="Обычный~LT~Hintergrund"/>
    <w:qFormat/>
    <w:pPr>
      <w:widowControl/>
      <w:bidi w:val="0"/>
      <w:jc w:val="center"/>
    </w:pPr>
    <w:rPr>
      <w:rFonts w:ascii="Liberation Serif" w:hAnsi="Liberation Serif" w:eastAsia="Tahoma" w:cs="Liberation Sans"/>
      <w:color w:val="auto"/>
      <w:kern w:val="0"/>
      <w:sz w:val="24"/>
      <w:szCs w:val="24"/>
      <w:lang w:val="ru-RU" w:eastAsia="en-US" w:bidi="ar-SA"/>
    </w:rPr>
  </w:style>
  <w:style w:type="paragraph" w:styleId="Default">
    <w:name w:val="default"/>
    <w:qFormat/>
    <w:pPr>
      <w:widowControl/>
      <w:bidi w:val="0"/>
      <w:spacing w:lineRule="atLeast" w:line="200" w:before="0" w:after="0"/>
      <w:ind w:left="0" w:right="0" w:hanging="0"/>
      <w:jc w:val="left"/>
    </w:pPr>
    <w:rPr>
      <w:rFonts w:ascii="Arial" w:hAnsi="Arial" w:eastAsia="Tahoma" w:cs="Liberation Sans"/>
      <w:color w:val="000000"/>
      <w:kern w:val="0"/>
      <w:sz w:val="36"/>
      <w:szCs w:val="24"/>
      <w:lang w:val="ru-RU" w:eastAsia="en-US" w:bidi="ar-SA"/>
    </w:rPr>
  </w:style>
  <w:style w:type="paragraph" w:styleId="Gray1">
    <w:name w:val="gray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Gray2">
    <w:name w:val="gray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Gray3">
    <w:name w:val="gray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Bw1">
    <w:name w:val="bw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Bw2">
    <w:name w:val="bw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Bw3">
    <w:name w:val="bw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Blue1">
    <w:name w:val="blue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Blue2">
    <w:name w:val="blue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Blue3">
    <w:name w:val="blue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Sun1">
    <w:name w:val="sun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Sun2">
    <w:name w:val="sun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Sun3">
    <w:name w:val="sun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Earth1">
    <w:name w:val="earth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Earth2">
    <w:name w:val="earth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Earth3">
    <w:name w:val="earth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Green1">
    <w:name w:val="green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Green2">
    <w:name w:val="green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Green3">
    <w:name w:val="green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  <w:ind w:left="0" w:right="0" w:hanging="0"/>
    </w:pPr>
    <w:rPr>
      <w:rFonts w:ascii="Arial" w:hAnsi="Arial"/>
      <w:color w:val="000000"/>
      <w:sz w:val="36"/>
    </w:rPr>
  </w:style>
  <w:style w:type="paragraph" w:styleId="Style33">
    <w:name w:val="Объекты фона"/>
    <w:qFormat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ind w:left="0" w:right="0" w:hanging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shadow w:val="false"/>
      <w:color w:val="000000"/>
      <w:kern w:val="0"/>
      <w:sz w:val="36"/>
      <w:szCs w:val="24"/>
      <w:u w:val="none"/>
      <w:lang w:val="ru-RU" w:eastAsia="en-US" w:bidi="ar-SA"/>
    </w:rPr>
  </w:style>
  <w:style w:type="paragraph" w:styleId="Style34">
    <w:name w:val="Фон"/>
    <w:qFormat/>
    <w:pPr>
      <w:widowControl/>
      <w:bidi w:val="0"/>
      <w:jc w:val="center"/>
    </w:pPr>
    <w:rPr>
      <w:rFonts w:ascii="Liberation Serif" w:hAnsi="Liberation Serif" w:eastAsia="Tahoma" w:cs="Liberation Sans"/>
      <w:color w:val="auto"/>
      <w:kern w:val="0"/>
      <w:sz w:val="24"/>
      <w:szCs w:val="24"/>
      <w:lang w:val="ru-RU" w:eastAsia="en-US" w:bidi="ar-SA"/>
    </w:rPr>
  </w:style>
  <w:style w:type="paragraph" w:styleId="Style35">
    <w:name w:val="Примечания"/>
    <w:qFormat/>
    <w:pPr>
      <w:widowControl/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90" w:after="0"/>
      <w:ind w:left="0" w:right="0" w:hanging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24"/>
      <w:szCs w:val="24"/>
      <w:u w:val="none"/>
      <w:em w:val="none"/>
      <w:lang w:val="ru-RU" w:eastAsia="en-US" w:bidi="ar-SA"/>
    </w:rPr>
  </w:style>
  <w:style w:type="paragraph" w:styleId="13">
    <w:name w:val="Структура 1"/>
    <w:qFormat/>
    <w:pPr>
      <w:widowControl/>
      <w:tabs>
        <w:tab w:val="left" w:pos="900" w:leader="none"/>
        <w:tab w:val="left" w:pos="2340" w:leader="none"/>
        <w:tab w:val="left" w:pos="3780" w:leader="none"/>
        <w:tab w:val="left" w:pos="5220" w:leader="none"/>
        <w:tab w:val="left" w:pos="6660" w:leader="none"/>
        <w:tab w:val="left" w:pos="8100" w:leader="none"/>
        <w:tab w:val="left" w:pos="9540" w:leader="none"/>
        <w:tab w:val="left" w:pos="10980" w:leader="none"/>
        <w:tab w:val="left" w:pos="12420" w:leader="none"/>
        <w:tab w:val="left" w:pos="13860" w:leader="none"/>
        <w:tab w:val="left" w:pos="15300" w:leader="none"/>
      </w:tabs>
      <w:bidi w:val="0"/>
      <w:spacing w:lineRule="auto" w:line="240" w:before="160" w:after="0"/>
      <w:ind w:left="0" w:right="0" w:hanging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en-US" w:bidi="ar-SA"/>
    </w:rPr>
  </w:style>
  <w:style w:type="paragraph" w:styleId="24">
    <w:name w:val="Структура 2"/>
    <w:basedOn w:val="13"/>
    <w:qFormat/>
    <w:pPr>
      <w:tabs>
        <w:tab w:val="left" w:pos="270" w:leader="none"/>
        <w:tab w:val="left" w:pos="1710" w:leader="none"/>
        <w:tab w:val="left" w:pos="3150" w:leader="none"/>
        <w:tab w:val="left" w:pos="4590" w:leader="none"/>
        <w:tab w:val="left" w:pos="6030" w:leader="none"/>
        <w:tab w:val="left" w:pos="7470" w:leader="none"/>
        <w:tab w:val="left" w:pos="8910" w:leader="none"/>
        <w:tab w:val="left" w:pos="10350" w:leader="none"/>
        <w:tab w:val="left" w:pos="11790" w:leader="none"/>
        <w:tab w:val="left" w:pos="13230" w:leader="none"/>
        <w:tab w:val="left" w:pos="14670" w:leader="none"/>
      </w:tabs>
      <w:bidi w:val="0"/>
      <w:spacing w:lineRule="auto" w:line="240" w:before="139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32">
    <w:name w:val="Структура 3"/>
    <w:basedOn w:val="24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  <w:tab w:val="left" w:pos="14040" w:leader="none"/>
      </w:tabs>
      <w:bidi w:val="0"/>
      <w:spacing w:lineRule="auto" w:line="240" w:before="12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42">
    <w:name w:val="Структура 4"/>
    <w:basedOn w:val="32"/>
    <w:qFormat/>
    <w:pPr>
      <w:tabs>
        <w:tab w:val="left" w:pos="360" w:leader="none"/>
        <w:tab w:val="left" w:pos="1800" w:leader="none"/>
        <w:tab w:val="left" w:pos="3240" w:leader="none"/>
        <w:tab w:val="left" w:pos="4680" w:leader="none"/>
        <w:tab w:val="left" w:pos="6120" w:leader="none"/>
        <w:tab w:val="left" w:pos="7560" w:leader="none"/>
        <w:tab w:val="left" w:pos="9000" w:leader="none"/>
        <w:tab w:val="left" w:pos="10440" w:leader="none"/>
        <w:tab w:val="left" w:pos="11880" w:leader="none"/>
        <w:tab w:val="left" w:pos="1332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52">
    <w:name w:val="Структура 5"/>
    <w:basedOn w:val="42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62">
    <w:name w:val="Структура 6"/>
    <w:basedOn w:val="52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7">
    <w:name w:val="Структура 7"/>
    <w:basedOn w:val="62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8">
    <w:name w:val="Структура 8"/>
    <w:basedOn w:val="7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9">
    <w:name w:val="Структура 9"/>
    <w:basedOn w:val="8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ind w:left="0" w:right="0" w:hanging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59"/>
    <w:rsid w:val="00817966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jpeg"/><Relationship Id="rId39" Type="http://schemas.openxmlformats.org/officeDocument/2006/relationships/header" Target="header1.xml"/><Relationship Id="rId40" Type="http://schemas.openxmlformats.org/officeDocument/2006/relationships/footer" Target="footer1.xml"/><Relationship Id="rId41" Type="http://schemas.openxmlformats.org/officeDocument/2006/relationships/numbering" Target="numbering.xml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<Relationship Id="rId4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66A89-2DAF-4046-A21C-63886B8FB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Application>LibreOffice/5.4.3.2$Windows_X86_64 LibreOffice_project/92a7159f7e4af62137622921e809f8546db437e5</Application>
  <Pages>25</Pages>
  <Words>5682</Words>
  <Characters>39620</Characters>
  <CharactersWithSpaces>45160</CharactersWithSpaces>
  <Paragraphs>413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2018-04-23T05:55:00Z</dcterms:created>
  <dc:creator>Саня</dc:creator>
  <dc:description/>
  <dc:language>ru-RU</dc:language>
  <cp:lastModifiedBy/>
  <dcterms:modified xsi:type="dcterms:W3CDTF">2018-07-10T14:33:39Z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